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6CA3F2" w14:textId="6CC79FCC" w:rsidR="007D68F7" w:rsidRPr="003B36BA" w:rsidRDefault="007D68F7" w:rsidP="007D68F7">
      <w:pPr>
        <w:pStyle w:val="Heading1"/>
        <w:pageBreakBefore/>
      </w:pPr>
      <w:r w:rsidRPr="007D68F7">
        <w:rPr>
          <w:sz w:val="32"/>
          <w:szCs w:val="32"/>
        </w:rPr>
        <w:t>Performance-based financing and a public-private partnership pilot for universal health coverage</w:t>
      </w:r>
    </w:p>
    <w:p w14:paraId="06DA6E28" w14:textId="0EF9671F" w:rsidR="007D68F7" w:rsidRDefault="007D68F7" w:rsidP="007D68F7">
      <w:pPr>
        <w:pStyle w:val="Subtitle"/>
      </w:pPr>
      <w:bookmarkStart w:id="0" w:name="_Toc227922621"/>
      <w:bookmarkStart w:id="1" w:name="_Toc227925827"/>
      <w:bookmarkStart w:id="2" w:name="_Toc228333057"/>
      <w:r>
        <w:t>Cameroon</w:t>
      </w:r>
    </w:p>
    <w:p w14:paraId="40D00AE8" w14:textId="77777777" w:rsidR="007D68F7" w:rsidRDefault="007D68F7" w:rsidP="007D68F7">
      <w:pPr>
        <w:spacing w:before="80" w:after="80" w:line="278" w:lineRule="auto"/>
        <w:rPr>
          <w:kern w:val="2"/>
          <w14:ligatures w14:val="standardContextual"/>
        </w:rPr>
      </w:pPr>
    </w:p>
    <w:p w14:paraId="04C0B619" w14:textId="2CCEA120" w:rsidR="007D68F7" w:rsidRDefault="007D68F7" w:rsidP="007D68F7">
      <w:pPr>
        <w:spacing w:before="80" w:after="120" w:line="276" w:lineRule="auto"/>
        <w:jc w:val="both"/>
        <w:rPr>
          <w:kern w:val="2"/>
          <w14:ligatures w14:val="standardContextual"/>
        </w:rPr>
      </w:pPr>
      <w:r>
        <w:rPr>
          <w:color w:val="000000"/>
        </w:rPr>
        <w:t xml:space="preserve">This </w:t>
      </w:r>
      <w:r w:rsidR="004D6AF7">
        <w:rPr>
          <w:color w:val="000000"/>
        </w:rPr>
        <w:t>exemplar</w:t>
      </w:r>
      <w:r>
        <w:rPr>
          <w:color w:val="000000"/>
        </w:rPr>
        <w:t xml:space="preserve"> examines Cameroon’s attempt to move toward universal health coverage through a public-private partnership pilot built on a longer performance-based financing experience. It considers both the promise of that approach and the constraints created by the absence of a full legal and fiscal framework.</w:t>
      </w:r>
    </w:p>
    <w:tbl>
      <w:tblPr>
        <w:tblW w:w="9360" w:type="dxa"/>
        <w:tblCellSpacing w:w="15" w:type="dxa"/>
        <w:tblCellMar>
          <w:top w:w="15" w:type="dxa"/>
          <w:left w:w="15" w:type="dxa"/>
          <w:bottom w:w="15" w:type="dxa"/>
          <w:right w:w="15" w:type="dxa"/>
        </w:tblCellMar>
        <w:tblLook w:val="04A0" w:firstRow="1" w:lastRow="0" w:firstColumn="1" w:lastColumn="0" w:noHBand="0" w:noVBand="1"/>
      </w:tblPr>
      <w:tblGrid>
        <w:gridCol w:w="9360"/>
      </w:tblGrid>
      <w:tr w:rsidR="007D68F7" w14:paraId="72B87DAE" w14:textId="77777777" w:rsidTr="000F37F8">
        <w:trPr>
          <w:tblCellSpacing w:w="15" w:type="dxa"/>
        </w:trPr>
        <w:tc>
          <w:tcPr>
            <w:tcW w:w="9360" w:type="dxa"/>
            <w:tcBorders>
              <w:top w:val="single" w:sz="8" w:space="0" w:color="1F3864"/>
              <w:left w:val="single" w:sz="8" w:space="0" w:color="1F3864"/>
              <w:bottom w:val="single" w:sz="8" w:space="0" w:color="1F3864"/>
              <w:right w:val="single" w:sz="8" w:space="0" w:color="1F3864"/>
            </w:tcBorders>
            <w:shd w:val="clear" w:color="auto" w:fill="D9EAF7"/>
            <w:tcMar>
              <w:top w:w="120" w:type="dxa"/>
              <w:left w:w="160" w:type="dxa"/>
              <w:bottom w:w="120" w:type="dxa"/>
              <w:right w:w="160" w:type="dxa"/>
            </w:tcMar>
            <w:vAlign w:val="center"/>
            <w:hideMark/>
          </w:tcPr>
          <w:p w14:paraId="70168E15" w14:textId="77777777" w:rsidR="007D68F7" w:rsidRDefault="007D68F7" w:rsidP="000F37F8">
            <w:pPr>
              <w:rPr>
                <w:kern w:val="2"/>
                <w14:ligatures w14:val="standardContextual"/>
              </w:rPr>
            </w:pPr>
            <w:r>
              <w:rPr>
                <w:b/>
                <w:bCs/>
                <w:color w:val="1F3864"/>
              </w:rPr>
              <w:t>Core exemplar</w:t>
            </w:r>
          </w:p>
          <w:p w14:paraId="2C55B3E4" w14:textId="77777777" w:rsidR="007D68F7" w:rsidRDefault="007D68F7" w:rsidP="000F37F8">
            <w:r>
              <w:rPr>
                <w:color w:val="000000"/>
              </w:rPr>
              <w:t>UHC Phase 1 pilot via public-private partnership (PPP) and Performance-Based Financing (PBF).</w:t>
            </w:r>
          </w:p>
          <w:p w14:paraId="6EE2F9D5" w14:textId="77777777" w:rsidR="007D68F7" w:rsidRDefault="007D68F7" w:rsidP="000F37F8">
            <w:r>
              <w:rPr>
                <w:b/>
                <w:bCs/>
                <w:color w:val="000000"/>
              </w:rPr>
              <w:t>Why it matters for ALM:</w:t>
            </w:r>
            <w:r>
              <w:rPr>
                <w:color w:val="000000"/>
              </w:rPr>
              <w:t xml:space="preserve"> It shows how a country can combine output-based financing and private implementation support to move from pilots toward a broader UHC architecture.</w:t>
            </w:r>
          </w:p>
          <w:p w14:paraId="14974F93" w14:textId="77777777" w:rsidR="007D68F7" w:rsidRDefault="007D68F7" w:rsidP="000F37F8">
            <w:r>
              <w:rPr>
                <w:b/>
                <w:bCs/>
                <w:color w:val="000000"/>
              </w:rPr>
              <w:t>Primary ALM contribution:</w:t>
            </w:r>
            <w:r>
              <w:rPr>
                <w:color w:val="000000"/>
              </w:rPr>
              <w:t xml:space="preserve"> More health for the money, governance and accountability, and equity through targeted service coverage.</w:t>
            </w:r>
          </w:p>
          <w:p w14:paraId="0BD48329" w14:textId="77777777" w:rsidR="007D68F7" w:rsidRDefault="007D68F7" w:rsidP="000F37F8">
            <w:r>
              <w:rPr>
                <w:b/>
                <w:bCs/>
                <w:color w:val="000000"/>
              </w:rPr>
              <w:t>Replicability potential:</w:t>
            </w:r>
            <w:r>
              <w:rPr>
                <w:color w:val="000000"/>
              </w:rPr>
              <w:t xml:space="preserve"> Moderate, especially for countries using PBF as a stepping stone while testing PPP-based service delivery models.</w:t>
            </w:r>
          </w:p>
        </w:tc>
      </w:tr>
    </w:tbl>
    <w:p w14:paraId="4C4722A8" w14:textId="43ACE6F8" w:rsidR="007D68F7" w:rsidRPr="003B36BA" w:rsidRDefault="007D68F7" w:rsidP="00227E89">
      <w:pPr>
        <w:pStyle w:val="Heading2"/>
      </w:pPr>
      <w:bookmarkStart w:id="3" w:name="_Toc227922622"/>
      <w:bookmarkStart w:id="4" w:name="_Toc227925828"/>
      <w:bookmarkStart w:id="5" w:name="_Toc228333058"/>
      <w:bookmarkStart w:id="6" w:name="_Toc229185847"/>
      <w:bookmarkEnd w:id="0"/>
      <w:bookmarkEnd w:id="1"/>
      <w:bookmarkEnd w:id="2"/>
      <w:r w:rsidRPr="003B36BA">
        <w:t>1</w:t>
      </w:r>
      <w:r w:rsidR="00227E89">
        <w:t xml:space="preserve">. </w:t>
      </w:r>
      <w:r w:rsidRPr="003B36BA">
        <w:t xml:space="preserve">Context: </w:t>
      </w:r>
      <w:bookmarkEnd w:id="3"/>
      <w:bookmarkEnd w:id="4"/>
      <w:bookmarkEnd w:id="5"/>
      <w:bookmarkEnd w:id="6"/>
      <w:r w:rsidR="008A550B" w:rsidRPr="008A550B">
        <w:t>High Out-of-Pocket Spending and Performance-Based Financing Reform</w:t>
      </w:r>
    </w:p>
    <w:p w14:paraId="6009570E" w14:textId="77777777" w:rsidR="007D68F7" w:rsidRDefault="007D68F7" w:rsidP="007D68F7">
      <w:pPr>
        <w:spacing w:before="80" w:after="80" w:line="278" w:lineRule="auto"/>
        <w:jc w:val="both"/>
      </w:pPr>
      <w:r>
        <w:rPr>
          <w:color w:val="000000"/>
        </w:rPr>
        <w:t>Cameroon’s health system is marked by very high out-of-pocket spending, low public financing, and a long search for workable reform instruments. Private spending accounted for 71.8% of total health financing in 2022, while government health expenditure stood at only 3.9% of GDP and per-capita spending was about USD 58. Since 2011, the country’s main financing innovation has been performance-based financing, first piloted in Littoral and later expanded through the SPARK-Health project. That experience created some of the operational foundations for later UHC efforts, but it did not close the larger financing gap.</w:t>
      </w:r>
    </w:p>
    <w:p w14:paraId="615D8DA0" w14:textId="77777777" w:rsidR="007D68F7" w:rsidRDefault="007D68F7" w:rsidP="007D68F7">
      <w:pPr>
        <w:spacing w:before="80" w:after="80" w:line="278" w:lineRule="auto"/>
        <w:jc w:val="both"/>
      </w:pPr>
      <w:bookmarkStart w:id="7" w:name="_Toc227922623"/>
      <w:bookmarkStart w:id="8" w:name="_Toc227925829"/>
      <w:bookmarkStart w:id="9" w:name="_Toc228333059"/>
      <w:bookmarkStart w:id="10" w:name="_Toc229185848"/>
      <w:r>
        <w:rPr>
          <w:color w:val="000000"/>
        </w:rPr>
        <w:t>Cameroon’s UHC effort goes back to a 2017 presidential declaration, but it only moved into implementation territory in 2020 when Société Santé Universelle Cameroun (SUCAM), a private contractor, was selected to manage delivery. After several delays, Phase 1 was formally launched on 12 April 2023 in the Mandjou health district of Bertoua in the East Region.</w:t>
      </w:r>
    </w:p>
    <w:p w14:paraId="5D0F0F49" w14:textId="580B6493" w:rsidR="007D68F7" w:rsidRPr="003B36BA" w:rsidRDefault="007D68F7" w:rsidP="00227E89">
      <w:pPr>
        <w:pStyle w:val="Heading2"/>
      </w:pPr>
      <w:r w:rsidRPr="003B36BA">
        <w:t>2</w:t>
      </w:r>
      <w:r w:rsidR="00227E89">
        <w:t>.</w:t>
      </w:r>
      <w:r w:rsidRPr="003B36BA">
        <w:t xml:space="preserve"> Mechanism: </w:t>
      </w:r>
      <w:bookmarkEnd w:id="7"/>
      <w:bookmarkEnd w:id="8"/>
      <w:bookmarkEnd w:id="9"/>
      <w:bookmarkEnd w:id="10"/>
      <w:r w:rsidR="008A550B" w:rsidRPr="008A550B">
        <w:t>Performance-Based Financing and a UHC Public-Private Partnership</w:t>
      </w:r>
    </w:p>
    <w:p w14:paraId="25CA4D65" w14:textId="77777777" w:rsidR="007D68F7" w:rsidRPr="003B36BA" w:rsidRDefault="007D68F7" w:rsidP="007D68F7">
      <w:pPr>
        <w:spacing w:before="80" w:after="80" w:line="280" w:lineRule="auto"/>
        <w:jc w:val="both"/>
      </w:pPr>
      <w:r w:rsidRPr="003B36BA">
        <w:rPr>
          <w:color w:val="000000"/>
        </w:rPr>
        <w:t>Cameroon's approach combines three instruments:</w:t>
      </w:r>
    </w:p>
    <w:p w14:paraId="5D07E86B" w14:textId="77777777" w:rsidR="007D68F7" w:rsidRPr="003B36BA" w:rsidRDefault="007D68F7" w:rsidP="007D68F7">
      <w:pPr>
        <w:pStyle w:val="ListParagraph"/>
        <w:numPr>
          <w:ilvl w:val="0"/>
          <w:numId w:val="1"/>
        </w:numPr>
        <w:spacing w:before="40" w:after="40" w:line="280" w:lineRule="auto"/>
        <w:contextualSpacing w:val="0"/>
        <w:jc w:val="both"/>
      </w:pPr>
      <w:r w:rsidRPr="003B36BA">
        <w:t>PBF National Scale-Up: Under SPARK-Health, PBF was integrated into the national system across all districts, incentivizing facilities based on service-delivery outputs adjusted for quality. Early independent evaluations found promising results on facility-level accountability and service availability.</w:t>
      </w:r>
    </w:p>
    <w:p w14:paraId="136C2AB7" w14:textId="77777777" w:rsidR="007D68F7" w:rsidRPr="003B36BA" w:rsidRDefault="007D68F7" w:rsidP="007D68F7">
      <w:pPr>
        <w:pStyle w:val="ListParagraph"/>
        <w:numPr>
          <w:ilvl w:val="0"/>
          <w:numId w:val="1"/>
        </w:numPr>
        <w:spacing w:before="40" w:after="40" w:line="280" w:lineRule="auto"/>
        <w:contextualSpacing w:val="0"/>
        <w:jc w:val="both"/>
      </w:pPr>
      <w:r w:rsidRPr="003B36BA">
        <w:lastRenderedPageBreak/>
        <w:t>Chèque Santé: A voucher system for pregnant women enabling access to obstetric care at contracted facilities — a targeted demand-side financing mechanism. Supported by GIZ's P4H and PROPOSAR projects in the Southern and Eastern regions.</w:t>
      </w:r>
    </w:p>
    <w:p w14:paraId="37AF59CA" w14:textId="77777777" w:rsidR="007D68F7" w:rsidRPr="003B36BA" w:rsidRDefault="007D68F7" w:rsidP="007D68F7">
      <w:pPr>
        <w:pStyle w:val="ListParagraph"/>
        <w:numPr>
          <w:ilvl w:val="0"/>
          <w:numId w:val="1"/>
        </w:numPr>
        <w:spacing w:before="40" w:after="40" w:line="280" w:lineRule="auto"/>
        <w:contextualSpacing w:val="0"/>
        <w:jc w:val="both"/>
      </w:pPr>
      <w:r w:rsidRPr="003B36BA">
        <w:t>UHC Phase 1 via PPP: The SUCAM PPP contract to manage UHC implementation in the East Region is unique on the continent. Phase 1 targets 6 million beneficiaries — pregnant women, children under five (free malaria treatment), people living with HIV/AIDS, tuberculosis patients, onchocerciasis patients, and kidney-failure patients on dialysis.</w:t>
      </w:r>
    </w:p>
    <w:p w14:paraId="5D1473C5" w14:textId="77777777" w:rsidR="007D68F7" w:rsidRDefault="007D68F7" w:rsidP="007D68F7">
      <w:pPr>
        <w:spacing w:before="80" w:after="80" w:line="278" w:lineRule="auto"/>
        <w:jc w:val="both"/>
      </w:pPr>
      <w:r>
        <w:rPr>
          <w:color w:val="000000"/>
        </w:rPr>
        <w:t>Financing for the pilot is backed by a Ministry of Public Health and Ministry of Finance disbursement arrangement covering 12.8 billion CFA francs, of which 11 billion CFA had already been disbursed, alongside weekly Treasury transfers. A formal information-sharing mechanism between Treasury and health-financing units has also been set up to improve control and execution.</w:t>
      </w:r>
    </w:p>
    <w:p w14:paraId="74AA4127" w14:textId="77777777" w:rsidR="007D68F7" w:rsidRPr="003B36BA" w:rsidRDefault="007D68F7" w:rsidP="007D68F7">
      <w:pPr>
        <w:spacing w:before="160" w:after="60"/>
        <w:jc w:val="center"/>
      </w:pPr>
      <w:r w:rsidRPr="003B36BA">
        <w:rPr>
          <w:noProof/>
        </w:rPr>
        <w:drawing>
          <wp:inline distT="0" distB="0" distL="0" distR="0" wp14:anchorId="6A27C2ED" wp14:editId="126DE307">
            <wp:extent cx="5715000" cy="3238500"/>
            <wp:effectExtent l="0" t="0" r="0" b="0"/>
            <wp:docPr id="1474954579" name="Picture 1474954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5715000" cy="3238500"/>
                    </a:xfrm>
                    <a:prstGeom prst="rect">
                      <a:avLst/>
                    </a:prstGeom>
                  </pic:spPr>
                </pic:pic>
              </a:graphicData>
            </a:graphic>
          </wp:inline>
        </w:drawing>
      </w:r>
    </w:p>
    <w:p w14:paraId="42926749" w14:textId="77777777" w:rsidR="007D68F7" w:rsidRPr="003B36BA" w:rsidRDefault="007D68F7" w:rsidP="007D68F7">
      <w:pPr>
        <w:spacing w:before="40" w:after="160"/>
        <w:jc w:val="center"/>
      </w:pPr>
      <w:r w:rsidRPr="003B36BA">
        <w:rPr>
          <w:i/>
          <w:iCs/>
          <w:color w:val="595959"/>
          <w:sz w:val="19"/>
          <w:szCs w:val="19"/>
        </w:rPr>
        <w:t>Figure C-1. Cameroon: UHC Phase 1 Target Populations (launched April 2023, Bertoua). The SUCAM PPP delivers care to 6 million beneficiaries across six priority groups: pregnant women, children under five, and patients with HIV/AIDS, TB, onchocerciasis, and dialysis needs.</w:t>
      </w:r>
    </w:p>
    <w:p w14:paraId="05912793" w14:textId="59C6B42A" w:rsidR="007D68F7" w:rsidRPr="003B36BA" w:rsidRDefault="007D68F7" w:rsidP="00227E89">
      <w:pPr>
        <w:pStyle w:val="Heading2"/>
      </w:pPr>
      <w:bookmarkStart w:id="11" w:name="_Toc227922624"/>
      <w:bookmarkStart w:id="12" w:name="_Toc227925830"/>
      <w:bookmarkStart w:id="13" w:name="_Toc228333060"/>
      <w:bookmarkStart w:id="14" w:name="_Toc229185849"/>
      <w:r w:rsidRPr="003B36BA">
        <w:t>3</w:t>
      </w:r>
      <w:r w:rsidR="00227E89">
        <w:t>.</w:t>
      </w:r>
      <w:r w:rsidRPr="003B36BA">
        <w:t xml:space="preserve"> Outcomes: </w:t>
      </w:r>
      <w:bookmarkEnd w:id="11"/>
      <w:bookmarkEnd w:id="12"/>
      <w:bookmarkEnd w:id="13"/>
      <w:bookmarkEnd w:id="14"/>
      <w:r w:rsidR="008A550B" w:rsidRPr="008A550B">
        <w:t>UHC Pilot Rollout and Expanded Service Delivery</w:t>
      </w:r>
    </w:p>
    <w:p w14:paraId="2CA7F3E4" w14:textId="77777777" w:rsidR="007D68F7" w:rsidRPr="003B36BA" w:rsidRDefault="007D68F7" w:rsidP="007D68F7">
      <w:pPr>
        <w:spacing w:before="80" w:after="80" w:line="280" w:lineRule="auto"/>
        <w:jc w:val="both"/>
      </w:pPr>
      <w:r w:rsidRPr="003B36BA">
        <w:rPr>
          <w:color w:val="000000"/>
        </w:rPr>
        <w:t>Since April 2023 launch, UHC Phase 1 has enrolled initial beneficiaries at six regional enrolment posts, with a Souza-based 2024 study examining enrolment patterns (finding education and information about UHC as key determinants of enrolment). By end of first year of implementation, more than 7,000 online registrations had been completed and enrolment campaigns were active in the East region. PBF has led to greater availability of medical supplies, increased provider financial autonomy, and enhanced information systems. In 2024 the second-year evaluation identified training-content harmonization, pooled enrolment materials, and information-sharing improvements with the Ministry of Social Affairs and Ministry of Social Security as key reforms to accelerate enrolment.</w:t>
      </w:r>
    </w:p>
    <w:p w14:paraId="4244423A" w14:textId="77777777" w:rsidR="007D68F7" w:rsidRPr="003B36BA" w:rsidRDefault="007D68F7" w:rsidP="007D68F7">
      <w:pPr>
        <w:spacing w:before="80" w:after="80" w:line="280" w:lineRule="auto"/>
        <w:jc w:val="both"/>
      </w:pPr>
      <w:r w:rsidRPr="003B36BA">
        <w:rPr>
          <w:color w:val="000000"/>
        </w:rPr>
        <w:lastRenderedPageBreak/>
        <w:t>As of 2025, however, no formal UHC Bill ha</w:t>
      </w:r>
      <w:r>
        <w:rPr>
          <w:color w:val="000000"/>
        </w:rPr>
        <w:t>d</w:t>
      </w:r>
      <w:r w:rsidRPr="003B36BA">
        <w:rPr>
          <w:color w:val="000000"/>
        </w:rPr>
        <w:t xml:space="preserve"> been deliberated or passed by the National Assembly, and no comprehensive feasibility study ha</w:t>
      </w:r>
      <w:r>
        <w:rPr>
          <w:color w:val="000000"/>
        </w:rPr>
        <w:t>d</w:t>
      </w:r>
      <w:r w:rsidRPr="003B36BA">
        <w:rPr>
          <w:color w:val="000000"/>
        </w:rPr>
        <w:t xml:space="preserve"> been published. Cameroon participated in the WHO African Region's 2024 survey on health financing reforms and is among countries planning to scale PBF and develop a broader contributory UHC scheme.</w:t>
      </w:r>
    </w:p>
    <w:tbl>
      <w:tblPr>
        <w:tblW w:w="9360" w:type="dxa"/>
        <w:tblCellSpacing w:w="15" w:type="dxa"/>
        <w:tblCellMar>
          <w:top w:w="15" w:type="dxa"/>
          <w:left w:w="15" w:type="dxa"/>
          <w:bottom w:w="15" w:type="dxa"/>
          <w:right w:w="15" w:type="dxa"/>
        </w:tblCellMar>
        <w:tblLook w:val="04A0" w:firstRow="1" w:lastRow="0" w:firstColumn="1" w:lastColumn="0" w:noHBand="0" w:noVBand="1"/>
      </w:tblPr>
      <w:tblGrid>
        <w:gridCol w:w="9360"/>
      </w:tblGrid>
      <w:tr w:rsidR="007D68F7" w14:paraId="150CA81B" w14:textId="77777777" w:rsidTr="00227E89">
        <w:trPr>
          <w:tblCellSpacing w:w="15" w:type="dxa"/>
        </w:trPr>
        <w:tc>
          <w:tcPr>
            <w:tcW w:w="9300" w:type="dxa"/>
            <w:tcBorders>
              <w:top w:val="single" w:sz="8" w:space="0" w:color="C00000"/>
              <w:left w:val="single" w:sz="8" w:space="0" w:color="C00000"/>
              <w:bottom w:val="single" w:sz="8" w:space="0" w:color="C00000"/>
              <w:right w:val="single" w:sz="8" w:space="0" w:color="C00000"/>
            </w:tcBorders>
            <w:shd w:val="clear" w:color="auto" w:fill="FBE4E4"/>
            <w:tcMar>
              <w:top w:w="120" w:type="dxa"/>
              <w:left w:w="160" w:type="dxa"/>
              <w:bottom w:w="120" w:type="dxa"/>
              <w:right w:w="160" w:type="dxa"/>
            </w:tcMar>
            <w:vAlign w:val="center"/>
            <w:hideMark/>
          </w:tcPr>
          <w:p w14:paraId="4FAD8116" w14:textId="77777777" w:rsidR="007D68F7" w:rsidRDefault="007D68F7" w:rsidP="000F37F8">
            <w:pPr>
              <w:spacing w:before="20" w:after="60"/>
              <w:rPr>
                <w:kern w:val="2"/>
                <w14:ligatures w14:val="standardContextual"/>
              </w:rPr>
            </w:pPr>
            <w:bookmarkStart w:id="15" w:name="_Toc227922625"/>
            <w:bookmarkStart w:id="16" w:name="_Toc227925831"/>
            <w:bookmarkStart w:id="17" w:name="_Toc228333061"/>
            <w:r>
              <w:rPr>
                <w:b/>
                <w:bCs/>
                <w:color w:val="8B0000"/>
              </w:rPr>
              <w:t>Key Vulnerability</w:t>
            </w:r>
          </w:p>
          <w:p w14:paraId="4E3E16E9" w14:textId="77777777" w:rsidR="007D68F7" w:rsidRDefault="007D68F7" w:rsidP="007D68F7">
            <w:pPr>
              <w:pStyle w:val="ListParagraph"/>
              <w:numPr>
                <w:ilvl w:val="0"/>
                <w:numId w:val="2"/>
              </w:numPr>
              <w:spacing w:before="40" w:after="40" w:line="278" w:lineRule="auto"/>
              <w:contextualSpacing w:val="0"/>
              <w:jc w:val="both"/>
            </w:pPr>
            <w:r>
              <w:rPr>
                <w:b/>
                <w:bCs/>
              </w:rPr>
              <w:t>What is at risk:</w:t>
            </w:r>
            <w:r>
              <w:t xml:space="preserve"> Scaling Cameroon’s UHC model beyond a pilot—because the enabling legal and fiscal foundations are not yet in place.</w:t>
            </w:r>
          </w:p>
          <w:p w14:paraId="3F01D464" w14:textId="77777777" w:rsidR="007D68F7" w:rsidRDefault="007D68F7" w:rsidP="007D68F7">
            <w:pPr>
              <w:pStyle w:val="ListParagraph"/>
              <w:numPr>
                <w:ilvl w:val="0"/>
                <w:numId w:val="2"/>
              </w:numPr>
              <w:spacing w:before="40" w:after="40" w:line="278" w:lineRule="auto"/>
              <w:contextualSpacing w:val="0"/>
              <w:jc w:val="both"/>
            </w:pPr>
            <w:r>
              <w:rPr>
                <w:b/>
                <w:bCs/>
              </w:rPr>
              <w:t>Why it matters (evidence):</w:t>
            </w:r>
            <w:r>
              <w:t xml:space="preserve"> The SUCAM PPP is innovative but still untested at national scale. No enabling UHC legislation has been passed by the National Assembly, leaving implementation in a regulatory grey zone. Cash</w:t>
            </w:r>
            <w:r>
              <w:noBreakHyphen/>
              <w:t>flow pressure at the Public Treasury and weak Ministry of Finance–Ministry of Health collaboration remain structural barriers. PBF sustainability is also uncertain: SPARK</w:t>
            </w:r>
            <w:r>
              <w:noBreakHyphen/>
              <w:t>Health’s 2019–2025 financing window closed in 2025 with follow</w:t>
            </w:r>
            <w:r>
              <w:noBreakHyphen/>
              <w:t>on funding not guaranteed. Civil society has raised governance and transparency concerns about the SUCAM contract. Meanwhile, health financing pressures remain severe: health spending is 3.9% of GDP and out</w:t>
            </w:r>
            <w:r>
              <w:noBreakHyphen/>
              <w:t>of</w:t>
            </w:r>
            <w:r>
              <w:noBreakHyphen/>
              <w:t>pocket spending is 71.8%.</w:t>
            </w:r>
          </w:p>
          <w:p w14:paraId="443DE1CF" w14:textId="77777777" w:rsidR="007D68F7" w:rsidRDefault="007D68F7" w:rsidP="007D68F7">
            <w:pPr>
              <w:pStyle w:val="ListParagraph"/>
              <w:numPr>
                <w:ilvl w:val="0"/>
                <w:numId w:val="2"/>
              </w:numPr>
              <w:spacing w:before="40" w:after="40" w:line="278" w:lineRule="auto"/>
              <w:contextualSpacing w:val="0"/>
              <w:jc w:val="both"/>
            </w:pPr>
            <w:r>
              <w:rPr>
                <w:b/>
                <w:bCs/>
              </w:rPr>
              <w:t>What would reduce the risk:</w:t>
            </w:r>
            <w:r>
              <w:t xml:space="preserve"> Passage of a UHC law, clearer governance and transparency provisions for the PPP, and a credible domestic</w:t>
            </w:r>
            <w:r>
              <w:noBreakHyphen/>
              <w:t>financing plan that reduces reliance on time</w:t>
            </w:r>
            <w:r>
              <w:noBreakHyphen/>
              <w:t>bound external financing while improving Treasury–MOH execution discipline.</w:t>
            </w:r>
          </w:p>
        </w:tc>
      </w:tr>
    </w:tbl>
    <w:p w14:paraId="2199C87C" w14:textId="309D0C69" w:rsidR="007D68F7" w:rsidRPr="00227E89" w:rsidRDefault="00227E89" w:rsidP="00227E89">
      <w:pPr>
        <w:pStyle w:val="Heading2"/>
      </w:pPr>
      <w:bookmarkStart w:id="18" w:name="_Toc229185850"/>
      <w:r>
        <w:t xml:space="preserve">4. </w:t>
      </w:r>
      <w:r w:rsidRPr="00227E89">
        <w:t xml:space="preserve">Cameroon </w:t>
      </w:r>
      <w:r>
        <w:t xml:space="preserve">on the </w:t>
      </w:r>
      <w:r w:rsidR="007D68F7" w:rsidRPr="00227E89">
        <w:t>ALM Scorecard</w:t>
      </w:r>
      <w:bookmarkEnd w:id="15"/>
      <w:bookmarkEnd w:id="16"/>
      <w:bookmarkEnd w:id="17"/>
      <w:bookmarkEnd w:id="18"/>
    </w:p>
    <w:p w14:paraId="23AD0B20" w14:textId="06B74E52" w:rsidR="007D68F7" w:rsidRDefault="00ED33A6" w:rsidP="007D68F7">
      <w:pPr>
        <w:spacing w:before="80" w:after="80" w:line="278" w:lineRule="auto"/>
        <w:jc w:val="both"/>
        <w:rPr>
          <w:kern w:val="2"/>
          <w14:ligatures w14:val="standardContextual"/>
        </w:rPr>
      </w:pPr>
      <w:r>
        <w:rPr>
          <w:noProof/>
        </w:rPr>
        <mc:AlternateContent>
          <mc:Choice Requires="wps">
            <w:drawing>
              <wp:anchor distT="45720" distB="45720" distL="114300" distR="114300" simplePos="0" relativeHeight="251659264" behindDoc="0" locked="0" layoutInCell="1" allowOverlap="1" wp14:anchorId="41444926" wp14:editId="1040B4AB">
                <wp:simplePos x="0" y="0"/>
                <wp:positionH relativeFrom="column">
                  <wp:posOffset>3260725</wp:posOffset>
                </wp:positionH>
                <wp:positionV relativeFrom="paragraph">
                  <wp:posOffset>23495</wp:posOffset>
                </wp:positionV>
                <wp:extent cx="2628900" cy="2918460"/>
                <wp:effectExtent l="0" t="0" r="19050" b="15240"/>
                <wp:wrapSquare wrapText="bothSides"/>
                <wp:docPr id="5551168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2918460"/>
                        </a:xfrm>
                        <a:prstGeom prst="rect">
                          <a:avLst/>
                        </a:prstGeom>
                        <a:solidFill>
                          <a:srgbClr val="FFFFFF"/>
                        </a:solidFill>
                        <a:ln w="9525">
                          <a:solidFill>
                            <a:srgbClr val="000000"/>
                          </a:solidFill>
                          <a:miter lim="800000"/>
                          <a:headEnd/>
                          <a:tailEnd/>
                        </a:ln>
                      </wps:spPr>
                      <wps:txbx>
                        <w:txbxContent>
                          <w:p w14:paraId="1B3A9549" w14:textId="77777777" w:rsidR="00ED33A6" w:rsidRDefault="00ED33A6" w:rsidP="00ED33A6">
                            <w:r w:rsidRPr="003B36BA">
                              <w:rPr>
                                <w:b/>
                                <w:bCs/>
                                <w:i/>
                                <w:iCs/>
                                <w:color w:val="595959"/>
                                <w:sz w:val="19"/>
                                <w:szCs w:val="19"/>
                              </w:rPr>
                              <w:t>ALM Scorecard Heat-Map</w:t>
                            </w:r>
                          </w:p>
                          <w:tbl>
                            <w:tblPr>
                              <w:tblW w:w="35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4"/>
                              <w:gridCol w:w="1008"/>
                            </w:tblGrid>
                            <w:tr w:rsidR="00ED33A6" w:rsidRPr="0043045E" w14:paraId="77085920" w14:textId="77777777" w:rsidTr="00BC32F0">
                              <w:trPr>
                                <w:trHeight w:val="284"/>
                              </w:trPr>
                              <w:tc>
                                <w:tcPr>
                                  <w:tcW w:w="2542" w:type="dxa"/>
                                  <w:vAlign w:val="center"/>
                                  <w:hideMark/>
                                </w:tcPr>
                                <w:p w14:paraId="317DD4BB" w14:textId="77777777" w:rsidR="00ED33A6" w:rsidRPr="0043045E" w:rsidRDefault="00ED33A6" w:rsidP="00BC32F0">
                                  <w:pPr>
                                    <w:rPr>
                                      <w:rFonts w:eastAsia="Times New Roman"/>
                                      <w:b/>
                                      <w:bCs/>
                                      <w:color w:val="000000"/>
                                      <w:sz w:val="16"/>
                                      <w:szCs w:val="16"/>
                                      <w:lang w:eastAsia="en-US"/>
                                    </w:rPr>
                                  </w:pPr>
                                  <w:r w:rsidRPr="0043045E">
                                    <w:rPr>
                                      <w:rFonts w:eastAsia="Times New Roman"/>
                                      <w:b/>
                                      <w:bCs/>
                                      <w:color w:val="000000"/>
                                      <w:sz w:val="16"/>
                                      <w:szCs w:val="16"/>
                                      <w:lang w:eastAsia="en-US"/>
                                    </w:rPr>
                                    <w:t>Country</w:t>
                                  </w:r>
                                </w:p>
                              </w:tc>
                              <w:tc>
                                <w:tcPr>
                                  <w:tcW w:w="960" w:type="dxa"/>
                                  <w:noWrap/>
                                  <w:vAlign w:val="center"/>
                                  <w:hideMark/>
                                </w:tcPr>
                                <w:p w14:paraId="4356E126" w14:textId="77777777" w:rsidR="00ED33A6" w:rsidRPr="0043045E" w:rsidRDefault="00ED33A6" w:rsidP="00BC32F0">
                                  <w:pPr>
                                    <w:rPr>
                                      <w:rFonts w:eastAsia="Times New Roman"/>
                                      <w:b/>
                                      <w:bCs/>
                                      <w:color w:val="000000"/>
                                      <w:sz w:val="16"/>
                                      <w:szCs w:val="16"/>
                                      <w:lang w:eastAsia="en-US"/>
                                    </w:rPr>
                                  </w:pPr>
                                  <w:r w:rsidRPr="0043045E">
                                    <w:rPr>
                                      <w:rFonts w:eastAsia="Times New Roman"/>
                                      <w:b/>
                                      <w:bCs/>
                                      <w:color w:val="000000"/>
                                      <w:sz w:val="16"/>
                                      <w:szCs w:val="16"/>
                                      <w:lang w:eastAsia="en-US"/>
                                    </w:rPr>
                                    <w:t>Cameroon</w:t>
                                  </w:r>
                                </w:p>
                              </w:tc>
                            </w:tr>
                            <w:tr w:rsidR="00ED33A6" w:rsidRPr="0043045E" w14:paraId="13B13B2D" w14:textId="77777777" w:rsidTr="00BC32F0">
                              <w:trPr>
                                <w:trHeight w:val="284"/>
                              </w:trPr>
                              <w:tc>
                                <w:tcPr>
                                  <w:tcW w:w="2542" w:type="dxa"/>
                                  <w:vAlign w:val="center"/>
                                  <w:hideMark/>
                                </w:tcPr>
                                <w:p w14:paraId="1650172A" w14:textId="77777777" w:rsidR="00ED33A6" w:rsidRPr="0043045E" w:rsidRDefault="00ED33A6" w:rsidP="00BC32F0">
                                  <w:pPr>
                                    <w:rPr>
                                      <w:rFonts w:eastAsia="Times New Roman"/>
                                      <w:b/>
                                      <w:bCs/>
                                      <w:color w:val="000000"/>
                                      <w:sz w:val="16"/>
                                      <w:szCs w:val="16"/>
                                      <w:lang w:eastAsia="en-US"/>
                                    </w:rPr>
                                  </w:pPr>
                                  <w:r w:rsidRPr="0043045E">
                                    <w:rPr>
                                      <w:rFonts w:eastAsia="Times New Roman"/>
                                      <w:b/>
                                      <w:bCs/>
                                      <w:color w:val="000000"/>
                                      <w:sz w:val="16"/>
                                      <w:szCs w:val="16"/>
                                      <w:lang w:eastAsia="en-US"/>
                                    </w:rPr>
                                    <w:t>1. Political Agenda</w:t>
                                  </w:r>
                                </w:p>
                              </w:tc>
                              <w:tc>
                                <w:tcPr>
                                  <w:tcW w:w="960" w:type="dxa"/>
                                  <w:shd w:val="clear" w:color="auto" w:fill="FFC000"/>
                                  <w:vAlign w:val="center"/>
                                  <w:hideMark/>
                                </w:tcPr>
                                <w:p w14:paraId="19956786" w14:textId="77777777" w:rsidR="00ED33A6" w:rsidRPr="0043045E" w:rsidRDefault="00ED33A6" w:rsidP="00BC32F0">
                                  <w:pPr>
                                    <w:rPr>
                                      <w:rFonts w:eastAsia="Times New Roman"/>
                                      <w:color w:val="000000"/>
                                      <w:sz w:val="16"/>
                                      <w:szCs w:val="16"/>
                                      <w:lang w:eastAsia="en-US"/>
                                    </w:rPr>
                                  </w:pPr>
                                  <w:r w:rsidRPr="0043045E">
                                    <w:rPr>
                                      <w:rFonts w:eastAsia="Times New Roman"/>
                                      <w:color w:val="000000"/>
                                      <w:sz w:val="16"/>
                                      <w:szCs w:val="16"/>
                                      <w:lang w:eastAsia="en-US"/>
                                    </w:rPr>
                                    <w:t> </w:t>
                                  </w:r>
                                </w:p>
                              </w:tc>
                            </w:tr>
                            <w:tr w:rsidR="00ED33A6" w:rsidRPr="0043045E" w14:paraId="13780115" w14:textId="77777777" w:rsidTr="00BC32F0">
                              <w:trPr>
                                <w:trHeight w:val="284"/>
                              </w:trPr>
                              <w:tc>
                                <w:tcPr>
                                  <w:tcW w:w="2542" w:type="dxa"/>
                                  <w:vAlign w:val="center"/>
                                  <w:hideMark/>
                                </w:tcPr>
                                <w:p w14:paraId="1137E95E" w14:textId="77777777" w:rsidR="00ED33A6" w:rsidRPr="0043045E" w:rsidRDefault="00ED33A6" w:rsidP="00BC32F0">
                                  <w:pPr>
                                    <w:rPr>
                                      <w:rFonts w:eastAsia="Times New Roman"/>
                                      <w:b/>
                                      <w:bCs/>
                                      <w:color w:val="000000"/>
                                      <w:sz w:val="16"/>
                                      <w:szCs w:val="16"/>
                                      <w:lang w:eastAsia="en-US"/>
                                    </w:rPr>
                                  </w:pPr>
                                  <w:r w:rsidRPr="0043045E">
                                    <w:rPr>
                                      <w:rFonts w:eastAsia="Times New Roman"/>
                                      <w:b/>
                                      <w:bCs/>
                                      <w:color w:val="000000"/>
                                      <w:sz w:val="16"/>
                                      <w:szCs w:val="16"/>
                                      <w:lang w:eastAsia="en-US"/>
                                    </w:rPr>
                                    <w:t>2. Leverage Partners</w:t>
                                  </w:r>
                                </w:p>
                              </w:tc>
                              <w:tc>
                                <w:tcPr>
                                  <w:tcW w:w="960" w:type="dxa"/>
                                  <w:shd w:val="clear" w:color="auto" w:fill="92D050"/>
                                  <w:vAlign w:val="center"/>
                                  <w:hideMark/>
                                </w:tcPr>
                                <w:p w14:paraId="29008195" w14:textId="77777777" w:rsidR="00ED33A6" w:rsidRPr="0043045E" w:rsidRDefault="00ED33A6" w:rsidP="00BC32F0">
                                  <w:pPr>
                                    <w:rPr>
                                      <w:rFonts w:eastAsia="Times New Roman"/>
                                      <w:color w:val="000000"/>
                                      <w:sz w:val="16"/>
                                      <w:szCs w:val="16"/>
                                      <w:lang w:eastAsia="en-US"/>
                                    </w:rPr>
                                  </w:pPr>
                                  <w:r w:rsidRPr="0043045E">
                                    <w:rPr>
                                      <w:rFonts w:eastAsia="Times New Roman"/>
                                      <w:color w:val="000000"/>
                                      <w:sz w:val="16"/>
                                      <w:szCs w:val="16"/>
                                      <w:lang w:eastAsia="en-US"/>
                                    </w:rPr>
                                    <w:t> </w:t>
                                  </w:r>
                                </w:p>
                              </w:tc>
                            </w:tr>
                            <w:tr w:rsidR="00ED33A6" w:rsidRPr="0043045E" w14:paraId="7725D7C0" w14:textId="77777777" w:rsidTr="00BC32F0">
                              <w:trPr>
                                <w:trHeight w:val="284"/>
                              </w:trPr>
                              <w:tc>
                                <w:tcPr>
                                  <w:tcW w:w="2542" w:type="dxa"/>
                                  <w:vAlign w:val="center"/>
                                  <w:hideMark/>
                                </w:tcPr>
                                <w:p w14:paraId="7DCE2ED5" w14:textId="77777777" w:rsidR="00ED33A6" w:rsidRPr="0043045E" w:rsidRDefault="00ED33A6" w:rsidP="00BC32F0">
                                  <w:pPr>
                                    <w:rPr>
                                      <w:rFonts w:eastAsia="Times New Roman"/>
                                      <w:b/>
                                      <w:bCs/>
                                      <w:color w:val="000000"/>
                                      <w:sz w:val="16"/>
                                      <w:szCs w:val="16"/>
                                      <w:lang w:eastAsia="en-US"/>
                                    </w:rPr>
                                  </w:pPr>
                                  <w:r w:rsidRPr="0043045E">
                                    <w:rPr>
                                      <w:rFonts w:eastAsia="Times New Roman"/>
                                      <w:b/>
                                      <w:bCs/>
                                      <w:color w:val="000000"/>
                                      <w:sz w:val="16"/>
                                      <w:szCs w:val="16"/>
                                      <w:lang w:eastAsia="en-US"/>
                                    </w:rPr>
                                    <w:t>3. Domestic Mobilization</w:t>
                                  </w:r>
                                </w:p>
                              </w:tc>
                              <w:tc>
                                <w:tcPr>
                                  <w:tcW w:w="960" w:type="dxa"/>
                                  <w:shd w:val="clear" w:color="auto" w:fill="EE0000"/>
                                  <w:vAlign w:val="center"/>
                                  <w:hideMark/>
                                </w:tcPr>
                                <w:p w14:paraId="69E7A806" w14:textId="77777777" w:rsidR="00ED33A6" w:rsidRPr="0043045E" w:rsidRDefault="00ED33A6" w:rsidP="00BC32F0">
                                  <w:pPr>
                                    <w:rPr>
                                      <w:rFonts w:eastAsia="Times New Roman"/>
                                      <w:color w:val="000000"/>
                                      <w:sz w:val="16"/>
                                      <w:szCs w:val="16"/>
                                      <w:lang w:eastAsia="en-US"/>
                                    </w:rPr>
                                  </w:pPr>
                                  <w:r w:rsidRPr="0043045E">
                                    <w:rPr>
                                      <w:rFonts w:eastAsia="Times New Roman"/>
                                      <w:color w:val="000000"/>
                                      <w:sz w:val="16"/>
                                      <w:szCs w:val="16"/>
                                      <w:lang w:eastAsia="en-US"/>
                                    </w:rPr>
                                    <w:t> </w:t>
                                  </w:r>
                                </w:p>
                              </w:tc>
                            </w:tr>
                            <w:tr w:rsidR="00ED33A6" w:rsidRPr="0043045E" w14:paraId="7AE6D647" w14:textId="77777777" w:rsidTr="00BC32F0">
                              <w:trPr>
                                <w:trHeight w:val="284"/>
                              </w:trPr>
                              <w:tc>
                                <w:tcPr>
                                  <w:tcW w:w="2542" w:type="dxa"/>
                                  <w:vAlign w:val="center"/>
                                  <w:hideMark/>
                                </w:tcPr>
                                <w:p w14:paraId="01D2DE55" w14:textId="77777777" w:rsidR="00ED33A6" w:rsidRPr="0043045E" w:rsidRDefault="00ED33A6" w:rsidP="00BC32F0">
                                  <w:pPr>
                                    <w:rPr>
                                      <w:rFonts w:eastAsia="Times New Roman"/>
                                      <w:b/>
                                      <w:bCs/>
                                      <w:color w:val="000000"/>
                                      <w:sz w:val="16"/>
                                      <w:szCs w:val="16"/>
                                      <w:lang w:eastAsia="en-US"/>
                                    </w:rPr>
                                  </w:pPr>
                                  <w:r w:rsidRPr="0043045E">
                                    <w:rPr>
                                      <w:rFonts w:eastAsia="Times New Roman"/>
                                      <w:b/>
                                      <w:bCs/>
                                      <w:color w:val="000000"/>
                                      <w:sz w:val="16"/>
                                      <w:szCs w:val="16"/>
                                      <w:lang w:eastAsia="en-US"/>
                                    </w:rPr>
                                    <w:t>4. Private Sector</w:t>
                                  </w:r>
                                </w:p>
                              </w:tc>
                              <w:tc>
                                <w:tcPr>
                                  <w:tcW w:w="960" w:type="dxa"/>
                                  <w:shd w:val="clear" w:color="auto" w:fill="92D050"/>
                                  <w:vAlign w:val="center"/>
                                  <w:hideMark/>
                                </w:tcPr>
                                <w:p w14:paraId="11A826D8" w14:textId="77777777" w:rsidR="00ED33A6" w:rsidRPr="0043045E" w:rsidRDefault="00ED33A6" w:rsidP="00BC32F0">
                                  <w:pPr>
                                    <w:rPr>
                                      <w:rFonts w:eastAsia="Times New Roman"/>
                                      <w:color w:val="000000"/>
                                      <w:sz w:val="16"/>
                                      <w:szCs w:val="16"/>
                                      <w:lang w:eastAsia="en-US"/>
                                    </w:rPr>
                                  </w:pPr>
                                  <w:r w:rsidRPr="0043045E">
                                    <w:rPr>
                                      <w:rFonts w:eastAsia="Times New Roman"/>
                                      <w:color w:val="000000"/>
                                      <w:sz w:val="16"/>
                                      <w:szCs w:val="16"/>
                                      <w:lang w:eastAsia="en-US"/>
                                    </w:rPr>
                                    <w:t> </w:t>
                                  </w:r>
                                </w:p>
                              </w:tc>
                            </w:tr>
                            <w:tr w:rsidR="00ED33A6" w:rsidRPr="0043045E" w14:paraId="1D173D9B" w14:textId="77777777" w:rsidTr="00BC32F0">
                              <w:trPr>
                                <w:trHeight w:val="284"/>
                              </w:trPr>
                              <w:tc>
                                <w:tcPr>
                                  <w:tcW w:w="2542" w:type="dxa"/>
                                  <w:vAlign w:val="center"/>
                                  <w:hideMark/>
                                </w:tcPr>
                                <w:p w14:paraId="04B76047" w14:textId="77777777" w:rsidR="00ED33A6" w:rsidRPr="0043045E" w:rsidRDefault="00ED33A6" w:rsidP="00BC32F0">
                                  <w:pPr>
                                    <w:rPr>
                                      <w:rFonts w:eastAsia="Times New Roman"/>
                                      <w:b/>
                                      <w:bCs/>
                                      <w:color w:val="000000"/>
                                      <w:sz w:val="16"/>
                                      <w:szCs w:val="16"/>
                                      <w:lang w:eastAsia="en-US"/>
                                    </w:rPr>
                                  </w:pPr>
                                  <w:r w:rsidRPr="0043045E">
                                    <w:rPr>
                                      <w:rFonts w:eastAsia="Times New Roman"/>
                                      <w:b/>
                                      <w:bCs/>
                                      <w:color w:val="000000"/>
                                      <w:sz w:val="16"/>
                                      <w:szCs w:val="16"/>
                                      <w:lang w:eastAsia="en-US"/>
                                    </w:rPr>
                                    <w:t>5. PMPA Harmonization</w:t>
                                  </w:r>
                                </w:p>
                              </w:tc>
                              <w:tc>
                                <w:tcPr>
                                  <w:tcW w:w="960" w:type="dxa"/>
                                  <w:shd w:val="clear" w:color="auto" w:fill="FFC000"/>
                                  <w:vAlign w:val="center"/>
                                  <w:hideMark/>
                                </w:tcPr>
                                <w:p w14:paraId="09F52849" w14:textId="77777777" w:rsidR="00ED33A6" w:rsidRPr="0043045E" w:rsidRDefault="00ED33A6" w:rsidP="00BC32F0">
                                  <w:pPr>
                                    <w:rPr>
                                      <w:rFonts w:eastAsia="Times New Roman"/>
                                      <w:color w:val="000000"/>
                                      <w:sz w:val="16"/>
                                      <w:szCs w:val="16"/>
                                      <w:lang w:eastAsia="en-US"/>
                                    </w:rPr>
                                  </w:pPr>
                                  <w:r w:rsidRPr="0043045E">
                                    <w:rPr>
                                      <w:rFonts w:eastAsia="Times New Roman"/>
                                      <w:color w:val="000000"/>
                                      <w:sz w:val="16"/>
                                      <w:szCs w:val="16"/>
                                      <w:lang w:eastAsia="en-US"/>
                                    </w:rPr>
                                    <w:t> </w:t>
                                  </w:r>
                                </w:p>
                              </w:tc>
                            </w:tr>
                            <w:tr w:rsidR="00ED33A6" w:rsidRPr="0043045E" w14:paraId="403AEF3B" w14:textId="77777777" w:rsidTr="00BC32F0">
                              <w:trPr>
                                <w:trHeight w:val="284"/>
                              </w:trPr>
                              <w:tc>
                                <w:tcPr>
                                  <w:tcW w:w="2542" w:type="dxa"/>
                                  <w:vAlign w:val="center"/>
                                  <w:hideMark/>
                                </w:tcPr>
                                <w:p w14:paraId="1FA328EB" w14:textId="77777777" w:rsidR="00ED33A6" w:rsidRPr="0043045E" w:rsidRDefault="00ED33A6" w:rsidP="00BC32F0">
                                  <w:pPr>
                                    <w:rPr>
                                      <w:rFonts w:eastAsia="Times New Roman"/>
                                      <w:b/>
                                      <w:bCs/>
                                      <w:color w:val="000000"/>
                                      <w:sz w:val="16"/>
                                      <w:szCs w:val="16"/>
                                      <w:lang w:eastAsia="en-US"/>
                                    </w:rPr>
                                  </w:pPr>
                                  <w:r w:rsidRPr="0043045E">
                                    <w:rPr>
                                      <w:rFonts w:eastAsia="Times New Roman"/>
                                      <w:b/>
                                      <w:bCs/>
                                      <w:color w:val="000000"/>
                                      <w:sz w:val="16"/>
                                      <w:szCs w:val="16"/>
                                      <w:lang w:eastAsia="en-US"/>
                                    </w:rPr>
                                    <w:t>6. Operational Undertakings</w:t>
                                  </w:r>
                                </w:p>
                              </w:tc>
                              <w:tc>
                                <w:tcPr>
                                  <w:tcW w:w="960" w:type="dxa"/>
                                  <w:shd w:val="clear" w:color="auto" w:fill="FFC000"/>
                                  <w:vAlign w:val="center"/>
                                  <w:hideMark/>
                                </w:tcPr>
                                <w:p w14:paraId="51658F65" w14:textId="77777777" w:rsidR="00ED33A6" w:rsidRPr="0043045E" w:rsidRDefault="00ED33A6" w:rsidP="00BC32F0">
                                  <w:pPr>
                                    <w:rPr>
                                      <w:rFonts w:eastAsia="Times New Roman"/>
                                      <w:color w:val="000000"/>
                                      <w:sz w:val="16"/>
                                      <w:szCs w:val="16"/>
                                      <w:lang w:eastAsia="en-US"/>
                                    </w:rPr>
                                  </w:pPr>
                                  <w:r w:rsidRPr="0043045E">
                                    <w:rPr>
                                      <w:rFonts w:eastAsia="Times New Roman"/>
                                      <w:color w:val="000000"/>
                                      <w:sz w:val="16"/>
                                      <w:szCs w:val="16"/>
                                      <w:lang w:eastAsia="en-US"/>
                                    </w:rPr>
                                    <w:t> </w:t>
                                  </w:r>
                                </w:p>
                              </w:tc>
                            </w:tr>
                            <w:tr w:rsidR="00ED33A6" w:rsidRPr="0043045E" w14:paraId="625CE872" w14:textId="77777777" w:rsidTr="00BC32F0">
                              <w:trPr>
                                <w:trHeight w:val="284"/>
                              </w:trPr>
                              <w:tc>
                                <w:tcPr>
                                  <w:tcW w:w="2542" w:type="dxa"/>
                                  <w:vAlign w:val="center"/>
                                  <w:hideMark/>
                                </w:tcPr>
                                <w:p w14:paraId="2FF88699" w14:textId="77777777" w:rsidR="00ED33A6" w:rsidRPr="0043045E" w:rsidRDefault="00ED33A6" w:rsidP="00BC32F0">
                                  <w:pPr>
                                    <w:rPr>
                                      <w:rFonts w:eastAsia="Times New Roman"/>
                                      <w:b/>
                                      <w:bCs/>
                                      <w:color w:val="000000"/>
                                      <w:sz w:val="16"/>
                                      <w:szCs w:val="16"/>
                                      <w:lang w:eastAsia="en-US"/>
                                    </w:rPr>
                                  </w:pPr>
                                  <w:r w:rsidRPr="0043045E">
                                    <w:rPr>
                                      <w:rFonts w:eastAsia="Times New Roman"/>
                                      <w:b/>
                                      <w:bCs/>
                                      <w:color w:val="000000"/>
                                      <w:sz w:val="16"/>
                                      <w:szCs w:val="16"/>
                                      <w:lang w:eastAsia="en-US"/>
                                    </w:rPr>
                                    <w:t>7. Monitoring &amp; Reporting</w:t>
                                  </w:r>
                                </w:p>
                              </w:tc>
                              <w:tc>
                                <w:tcPr>
                                  <w:tcW w:w="960" w:type="dxa"/>
                                  <w:shd w:val="clear" w:color="auto" w:fill="FFC000"/>
                                  <w:vAlign w:val="center"/>
                                  <w:hideMark/>
                                </w:tcPr>
                                <w:p w14:paraId="6C505F17" w14:textId="77777777" w:rsidR="00ED33A6" w:rsidRPr="0043045E" w:rsidRDefault="00ED33A6" w:rsidP="00BC32F0">
                                  <w:pPr>
                                    <w:rPr>
                                      <w:rFonts w:eastAsia="Times New Roman"/>
                                      <w:color w:val="000000"/>
                                      <w:sz w:val="16"/>
                                      <w:szCs w:val="16"/>
                                      <w:lang w:eastAsia="en-US"/>
                                    </w:rPr>
                                  </w:pPr>
                                  <w:r w:rsidRPr="0043045E">
                                    <w:rPr>
                                      <w:rFonts w:eastAsia="Times New Roman"/>
                                      <w:color w:val="000000"/>
                                      <w:sz w:val="16"/>
                                      <w:szCs w:val="16"/>
                                      <w:lang w:eastAsia="en-US"/>
                                    </w:rPr>
                                    <w:t> </w:t>
                                  </w:r>
                                </w:p>
                              </w:tc>
                            </w:tr>
                            <w:tr w:rsidR="00ED33A6" w:rsidRPr="0043045E" w14:paraId="3987EBE9" w14:textId="77777777" w:rsidTr="00BC32F0">
                              <w:trPr>
                                <w:trHeight w:val="284"/>
                              </w:trPr>
                              <w:tc>
                                <w:tcPr>
                                  <w:tcW w:w="2542" w:type="dxa"/>
                                  <w:vAlign w:val="center"/>
                                  <w:hideMark/>
                                </w:tcPr>
                                <w:p w14:paraId="214E3741" w14:textId="77777777" w:rsidR="00ED33A6" w:rsidRPr="0043045E" w:rsidRDefault="00ED33A6" w:rsidP="00BC32F0">
                                  <w:pPr>
                                    <w:rPr>
                                      <w:rFonts w:eastAsia="Times New Roman"/>
                                      <w:b/>
                                      <w:bCs/>
                                      <w:color w:val="000000"/>
                                      <w:sz w:val="16"/>
                                      <w:szCs w:val="16"/>
                                      <w:lang w:eastAsia="en-US"/>
                                    </w:rPr>
                                  </w:pPr>
                                  <w:r w:rsidRPr="0043045E">
                                    <w:rPr>
                                      <w:rFonts w:eastAsia="Times New Roman"/>
                                      <w:b/>
                                      <w:bCs/>
                                      <w:color w:val="000000"/>
                                      <w:sz w:val="16"/>
                                      <w:szCs w:val="16"/>
                                      <w:lang w:eastAsia="en-US"/>
                                    </w:rPr>
                                    <w:t>8. Accountability Framework</w:t>
                                  </w:r>
                                </w:p>
                              </w:tc>
                              <w:tc>
                                <w:tcPr>
                                  <w:tcW w:w="960" w:type="dxa"/>
                                  <w:shd w:val="clear" w:color="auto" w:fill="FFC000"/>
                                  <w:vAlign w:val="center"/>
                                  <w:hideMark/>
                                </w:tcPr>
                                <w:p w14:paraId="50AA8A49" w14:textId="77777777" w:rsidR="00ED33A6" w:rsidRPr="0043045E" w:rsidRDefault="00ED33A6" w:rsidP="00BC32F0">
                                  <w:pPr>
                                    <w:rPr>
                                      <w:rFonts w:eastAsia="Times New Roman"/>
                                      <w:color w:val="000000"/>
                                      <w:sz w:val="16"/>
                                      <w:szCs w:val="16"/>
                                      <w:lang w:eastAsia="en-US"/>
                                    </w:rPr>
                                  </w:pPr>
                                  <w:r w:rsidRPr="0043045E">
                                    <w:rPr>
                                      <w:rFonts w:eastAsia="Times New Roman"/>
                                      <w:color w:val="000000"/>
                                      <w:sz w:val="16"/>
                                      <w:szCs w:val="16"/>
                                      <w:lang w:eastAsia="en-US"/>
                                    </w:rPr>
                                    <w:t> </w:t>
                                  </w:r>
                                </w:p>
                              </w:tc>
                            </w:tr>
                            <w:tr w:rsidR="00ED33A6" w:rsidRPr="0043045E" w14:paraId="3286D82E" w14:textId="77777777" w:rsidTr="00BC32F0">
                              <w:trPr>
                                <w:trHeight w:val="284"/>
                              </w:trPr>
                              <w:tc>
                                <w:tcPr>
                                  <w:tcW w:w="2542" w:type="dxa"/>
                                  <w:vAlign w:val="center"/>
                                  <w:hideMark/>
                                </w:tcPr>
                                <w:p w14:paraId="2E7217DF" w14:textId="77777777" w:rsidR="00ED33A6" w:rsidRPr="0043045E" w:rsidRDefault="00ED33A6" w:rsidP="00BC32F0">
                                  <w:pPr>
                                    <w:rPr>
                                      <w:rFonts w:eastAsia="Times New Roman"/>
                                      <w:b/>
                                      <w:bCs/>
                                      <w:color w:val="000000"/>
                                      <w:sz w:val="16"/>
                                      <w:szCs w:val="16"/>
                                      <w:lang w:eastAsia="en-US"/>
                                    </w:rPr>
                                  </w:pPr>
                                  <w:r w:rsidRPr="0043045E">
                                    <w:rPr>
                                      <w:rFonts w:eastAsia="Times New Roman"/>
                                      <w:b/>
                                      <w:bCs/>
                                      <w:color w:val="000000"/>
                                      <w:sz w:val="16"/>
                                      <w:szCs w:val="16"/>
                                      <w:lang w:eastAsia="en-US"/>
                                    </w:rPr>
                                    <w:t>9. Hosting Role</w:t>
                                  </w:r>
                                </w:p>
                              </w:tc>
                              <w:tc>
                                <w:tcPr>
                                  <w:tcW w:w="960" w:type="dxa"/>
                                  <w:shd w:val="clear" w:color="auto" w:fill="FFC000"/>
                                  <w:vAlign w:val="center"/>
                                  <w:hideMark/>
                                </w:tcPr>
                                <w:p w14:paraId="6A0A91C3" w14:textId="77777777" w:rsidR="00ED33A6" w:rsidRPr="0043045E" w:rsidRDefault="00ED33A6" w:rsidP="00BC32F0">
                                  <w:pPr>
                                    <w:rPr>
                                      <w:rFonts w:eastAsia="Times New Roman"/>
                                      <w:color w:val="000000"/>
                                      <w:sz w:val="16"/>
                                      <w:szCs w:val="16"/>
                                      <w:lang w:eastAsia="en-US"/>
                                    </w:rPr>
                                  </w:pPr>
                                  <w:r w:rsidRPr="0043045E">
                                    <w:rPr>
                                      <w:rFonts w:eastAsia="Times New Roman"/>
                                      <w:color w:val="000000"/>
                                      <w:sz w:val="16"/>
                                      <w:szCs w:val="16"/>
                                      <w:lang w:eastAsia="en-US"/>
                                    </w:rPr>
                                    <w:t> </w:t>
                                  </w:r>
                                </w:p>
                              </w:tc>
                            </w:tr>
                            <w:tr w:rsidR="00ED33A6" w:rsidRPr="0043045E" w14:paraId="73735C4D" w14:textId="77777777" w:rsidTr="00BC32F0">
                              <w:trPr>
                                <w:trHeight w:val="284"/>
                              </w:trPr>
                              <w:tc>
                                <w:tcPr>
                                  <w:tcW w:w="2542" w:type="dxa"/>
                                  <w:vAlign w:val="center"/>
                                  <w:hideMark/>
                                </w:tcPr>
                                <w:p w14:paraId="7A203D97" w14:textId="77777777" w:rsidR="00ED33A6" w:rsidRPr="0043045E" w:rsidRDefault="00ED33A6" w:rsidP="00BC32F0">
                                  <w:pPr>
                                    <w:rPr>
                                      <w:rFonts w:eastAsia="Times New Roman"/>
                                      <w:b/>
                                      <w:bCs/>
                                      <w:color w:val="000000"/>
                                      <w:sz w:val="16"/>
                                      <w:szCs w:val="16"/>
                                      <w:lang w:eastAsia="en-US"/>
                                    </w:rPr>
                                  </w:pPr>
                                  <w:r w:rsidRPr="0043045E">
                                    <w:rPr>
                                      <w:rFonts w:eastAsia="Times New Roman"/>
                                      <w:b/>
                                      <w:bCs/>
                                      <w:color w:val="000000"/>
                                      <w:sz w:val="16"/>
                                      <w:szCs w:val="16"/>
                                      <w:lang w:eastAsia="en-US"/>
                                    </w:rPr>
                                    <w:t>10. Leveraging AU Support</w:t>
                                  </w:r>
                                </w:p>
                              </w:tc>
                              <w:tc>
                                <w:tcPr>
                                  <w:tcW w:w="960" w:type="dxa"/>
                                  <w:shd w:val="clear" w:color="auto" w:fill="FFC000"/>
                                  <w:vAlign w:val="center"/>
                                  <w:hideMark/>
                                </w:tcPr>
                                <w:p w14:paraId="41E7C4BD" w14:textId="77777777" w:rsidR="00ED33A6" w:rsidRPr="0043045E" w:rsidRDefault="00ED33A6" w:rsidP="00BC32F0">
                                  <w:pPr>
                                    <w:rPr>
                                      <w:rFonts w:eastAsia="Times New Roman"/>
                                      <w:color w:val="000000"/>
                                      <w:sz w:val="16"/>
                                      <w:szCs w:val="16"/>
                                      <w:lang w:eastAsia="en-US"/>
                                    </w:rPr>
                                  </w:pPr>
                                  <w:r w:rsidRPr="0043045E">
                                    <w:rPr>
                                      <w:rFonts w:eastAsia="Times New Roman"/>
                                      <w:color w:val="000000"/>
                                      <w:sz w:val="16"/>
                                      <w:szCs w:val="16"/>
                                      <w:lang w:eastAsia="en-US"/>
                                    </w:rPr>
                                    <w:t> </w:t>
                                  </w:r>
                                </w:p>
                              </w:tc>
                            </w:tr>
                          </w:tbl>
                          <w:p w14:paraId="2BA8E76A" w14:textId="77777777" w:rsidR="00ED33A6" w:rsidRDefault="00ED33A6" w:rsidP="00ED33A6">
                            <w:pPr>
                              <w:rPr>
                                <w:b/>
                                <w:bCs/>
                                <w:i/>
                                <w:iCs/>
                                <w:color w:val="595959"/>
                                <w:sz w:val="19"/>
                                <w:szCs w:val="19"/>
                              </w:rPr>
                            </w:pPr>
                            <w:r w:rsidRPr="003B36BA">
                              <w:rPr>
                                <w:b/>
                                <w:bCs/>
                                <w:i/>
                                <w:iCs/>
                                <w:color w:val="595959"/>
                                <w:sz w:val="19"/>
                                <w:szCs w:val="19"/>
                              </w:rPr>
                              <w:t>Green = On Track, Amber = Partial, Red = Off Track</w:t>
                            </w:r>
                          </w:p>
                          <w:p w14:paraId="09C2A7A6" w14:textId="77777777" w:rsidR="00ED33A6" w:rsidRDefault="00ED33A6" w:rsidP="00ED33A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1444926" id="_x0000_t202" coordsize="21600,21600" o:spt="202" path="m,l,21600r21600,l21600,xe">
                <v:stroke joinstyle="miter"/>
                <v:path gradientshapeok="t" o:connecttype="rect"/>
              </v:shapetype>
              <v:shape id="Text Box 2" o:spid="_x0000_s1026" type="#_x0000_t202" style="position:absolute;left:0;text-align:left;margin-left:256.75pt;margin-top:1.85pt;width:207pt;height:229.8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">
                <v:textbox>
                  <w:txbxContent>
                    <w:p w14:paraId="1B3A9549" w14:textId="77777777" w:rsidR="00ED33A6" w:rsidRDefault="00ED33A6" w:rsidP="00ED33A6">
                      <w:r w:rsidRPr="003B36BA">
                        <w:rPr>
                          <w:b/>
                          <w:bCs/>
                          <w:i/>
                          <w:iCs/>
                          <w:color w:val="595959"/>
                          <w:sz w:val="19"/>
                          <w:szCs w:val="19"/>
                        </w:rPr>
                        <w:t>ALM Scorecard Heat-Map</w:t>
                      </w:r>
                    </w:p>
                    <w:tbl>
                      <w:tblPr>
                        <w:tblW w:w="35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4"/>
                        <w:gridCol w:w="1008"/>
                      </w:tblGrid>
                      <w:tr w:rsidR="00ED33A6" w:rsidRPr="0043045E" w14:paraId="77085920" w14:textId="77777777" w:rsidTr="00BC32F0">
                        <w:trPr>
                          <w:trHeight w:val="284"/>
                        </w:trPr>
                        <w:tc>
                          <w:tcPr>
                            <w:tcW w:w="2542" w:type="dxa"/>
                            <w:vAlign w:val="center"/>
                            <w:hideMark/>
                          </w:tcPr>
                          <w:p w14:paraId="317DD4BB" w14:textId="77777777" w:rsidR="00ED33A6" w:rsidRPr="0043045E" w:rsidRDefault="00ED33A6" w:rsidP="00BC32F0">
                            <w:pPr>
                              <w:rPr>
                                <w:rFonts w:eastAsia="Times New Roman"/>
                                <w:b/>
                                <w:bCs/>
                                <w:color w:val="000000"/>
                                <w:sz w:val="16"/>
                                <w:szCs w:val="16"/>
                                <w:lang w:eastAsia="en-US"/>
                              </w:rPr>
                            </w:pPr>
                            <w:r w:rsidRPr="0043045E">
                              <w:rPr>
                                <w:rFonts w:eastAsia="Times New Roman"/>
                                <w:b/>
                                <w:bCs/>
                                <w:color w:val="000000"/>
                                <w:sz w:val="16"/>
                                <w:szCs w:val="16"/>
                                <w:lang w:eastAsia="en-US"/>
                              </w:rPr>
                              <w:t>Country</w:t>
                            </w:r>
                          </w:p>
                        </w:tc>
                        <w:tc>
                          <w:tcPr>
                            <w:tcW w:w="960" w:type="dxa"/>
                            <w:noWrap/>
                            <w:vAlign w:val="center"/>
                            <w:hideMark/>
                          </w:tcPr>
                          <w:p w14:paraId="4356E126" w14:textId="77777777" w:rsidR="00ED33A6" w:rsidRPr="0043045E" w:rsidRDefault="00ED33A6" w:rsidP="00BC32F0">
                            <w:pPr>
                              <w:rPr>
                                <w:rFonts w:eastAsia="Times New Roman"/>
                                <w:b/>
                                <w:bCs/>
                                <w:color w:val="000000"/>
                                <w:sz w:val="16"/>
                                <w:szCs w:val="16"/>
                                <w:lang w:eastAsia="en-US"/>
                              </w:rPr>
                            </w:pPr>
                            <w:r w:rsidRPr="0043045E">
                              <w:rPr>
                                <w:rFonts w:eastAsia="Times New Roman"/>
                                <w:b/>
                                <w:bCs/>
                                <w:color w:val="000000"/>
                                <w:sz w:val="16"/>
                                <w:szCs w:val="16"/>
                                <w:lang w:eastAsia="en-US"/>
                              </w:rPr>
                              <w:t>Cameroon</w:t>
                            </w:r>
                          </w:p>
                        </w:tc>
                      </w:tr>
                      <w:tr w:rsidR="00ED33A6" w:rsidRPr="0043045E" w14:paraId="13B13B2D" w14:textId="77777777" w:rsidTr="00BC32F0">
                        <w:trPr>
                          <w:trHeight w:val="284"/>
                        </w:trPr>
                        <w:tc>
                          <w:tcPr>
                            <w:tcW w:w="2542" w:type="dxa"/>
                            <w:vAlign w:val="center"/>
                            <w:hideMark/>
                          </w:tcPr>
                          <w:p w14:paraId="1650172A" w14:textId="77777777" w:rsidR="00ED33A6" w:rsidRPr="0043045E" w:rsidRDefault="00ED33A6" w:rsidP="00BC32F0">
                            <w:pPr>
                              <w:rPr>
                                <w:rFonts w:eastAsia="Times New Roman"/>
                                <w:b/>
                                <w:bCs/>
                                <w:color w:val="000000"/>
                                <w:sz w:val="16"/>
                                <w:szCs w:val="16"/>
                                <w:lang w:eastAsia="en-US"/>
                              </w:rPr>
                            </w:pPr>
                            <w:r w:rsidRPr="0043045E">
                              <w:rPr>
                                <w:rFonts w:eastAsia="Times New Roman"/>
                                <w:b/>
                                <w:bCs/>
                                <w:color w:val="000000"/>
                                <w:sz w:val="16"/>
                                <w:szCs w:val="16"/>
                                <w:lang w:eastAsia="en-US"/>
                              </w:rPr>
                              <w:t>1. Political Agenda</w:t>
                            </w:r>
                          </w:p>
                        </w:tc>
                        <w:tc>
                          <w:tcPr>
                            <w:tcW w:w="960" w:type="dxa"/>
                            <w:shd w:val="clear" w:color="auto" w:fill="FFC000"/>
                            <w:vAlign w:val="center"/>
                            <w:hideMark/>
                          </w:tcPr>
                          <w:p w14:paraId="19956786" w14:textId="77777777" w:rsidR="00ED33A6" w:rsidRPr="0043045E" w:rsidRDefault="00ED33A6" w:rsidP="00BC32F0">
                            <w:pPr>
                              <w:rPr>
                                <w:rFonts w:eastAsia="Times New Roman"/>
                                <w:color w:val="000000"/>
                                <w:sz w:val="16"/>
                                <w:szCs w:val="16"/>
                                <w:lang w:eastAsia="en-US"/>
                              </w:rPr>
                            </w:pPr>
                            <w:r w:rsidRPr="0043045E">
                              <w:rPr>
                                <w:rFonts w:eastAsia="Times New Roman"/>
                                <w:color w:val="000000"/>
                                <w:sz w:val="16"/>
                                <w:szCs w:val="16"/>
                                <w:lang w:eastAsia="en-US"/>
                              </w:rPr>
                              <w:t> </w:t>
                            </w:r>
                          </w:p>
                        </w:tc>
                      </w:tr>
                      <w:tr w:rsidR="00ED33A6" w:rsidRPr="0043045E" w14:paraId="13780115" w14:textId="77777777" w:rsidTr="00BC32F0">
                        <w:trPr>
                          <w:trHeight w:val="284"/>
                        </w:trPr>
                        <w:tc>
                          <w:tcPr>
                            <w:tcW w:w="2542" w:type="dxa"/>
                            <w:vAlign w:val="center"/>
                            <w:hideMark/>
                          </w:tcPr>
                          <w:p w14:paraId="1137E95E" w14:textId="77777777" w:rsidR="00ED33A6" w:rsidRPr="0043045E" w:rsidRDefault="00ED33A6" w:rsidP="00BC32F0">
                            <w:pPr>
                              <w:rPr>
                                <w:rFonts w:eastAsia="Times New Roman"/>
                                <w:b/>
                                <w:bCs/>
                                <w:color w:val="000000"/>
                                <w:sz w:val="16"/>
                                <w:szCs w:val="16"/>
                                <w:lang w:eastAsia="en-US"/>
                              </w:rPr>
                            </w:pPr>
                            <w:r w:rsidRPr="0043045E">
                              <w:rPr>
                                <w:rFonts w:eastAsia="Times New Roman"/>
                                <w:b/>
                                <w:bCs/>
                                <w:color w:val="000000"/>
                                <w:sz w:val="16"/>
                                <w:szCs w:val="16"/>
                                <w:lang w:eastAsia="en-US"/>
                              </w:rPr>
                              <w:t>2. Leverage Partners</w:t>
                            </w:r>
                          </w:p>
                        </w:tc>
                        <w:tc>
                          <w:tcPr>
                            <w:tcW w:w="960" w:type="dxa"/>
                            <w:shd w:val="clear" w:color="auto" w:fill="92D050"/>
                            <w:vAlign w:val="center"/>
                            <w:hideMark/>
                          </w:tcPr>
                          <w:p w14:paraId="29008195" w14:textId="77777777" w:rsidR="00ED33A6" w:rsidRPr="0043045E" w:rsidRDefault="00ED33A6" w:rsidP="00BC32F0">
                            <w:pPr>
                              <w:rPr>
                                <w:rFonts w:eastAsia="Times New Roman"/>
                                <w:color w:val="000000"/>
                                <w:sz w:val="16"/>
                                <w:szCs w:val="16"/>
                                <w:lang w:eastAsia="en-US"/>
                              </w:rPr>
                            </w:pPr>
                            <w:r w:rsidRPr="0043045E">
                              <w:rPr>
                                <w:rFonts w:eastAsia="Times New Roman"/>
                                <w:color w:val="000000"/>
                                <w:sz w:val="16"/>
                                <w:szCs w:val="16"/>
                                <w:lang w:eastAsia="en-US"/>
                              </w:rPr>
                              <w:t> </w:t>
                            </w:r>
                          </w:p>
                        </w:tc>
                      </w:tr>
                      <w:tr w:rsidR="00ED33A6" w:rsidRPr="0043045E" w14:paraId="7725D7C0" w14:textId="77777777" w:rsidTr="00BC32F0">
                        <w:trPr>
                          <w:trHeight w:val="284"/>
                        </w:trPr>
                        <w:tc>
                          <w:tcPr>
                            <w:tcW w:w="2542" w:type="dxa"/>
                            <w:vAlign w:val="center"/>
                            <w:hideMark/>
                          </w:tcPr>
                          <w:p w14:paraId="7DCE2ED5" w14:textId="77777777" w:rsidR="00ED33A6" w:rsidRPr="0043045E" w:rsidRDefault="00ED33A6" w:rsidP="00BC32F0">
                            <w:pPr>
                              <w:rPr>
                                <w:rFonts w:eastAsia="Times New Roman"/>
                                <w:b/>
                                <w:bCs/>
                                <w:color w:val="000000"/>
                                <w:sz w:val="16"/>
                                <w:szCs w:val="16"/>
                                <w:lang w:eastAsia="en-US"/>
                              </w:rPr>
                            </w:pPr>
                            <w:r w:rsidRPr="0043045E">
                              <w:rPr>
                                <w:rFonts w:eastAsia="Times New Roman"/>
                                <w:b/>
                                <w:bCs/>
                                <w:color w:val="000000"/>
                                <w:sz w:val="16"/>
                                <w:szCs w:val="16"/>
                                <w:lang w:eastAsia="en-US"/>
                              </w:rPr>
                              <w:t>3. Domestic Mobilization</w:t>
                            </w:r>
                          </w:p>
                        </w:tc>
                        <w:tc>
                          <w:tcPr>
                            <w:tcW w:w="960" w:type="dxa"/>
                            <w:shd w:val="clear" w:color="auto" w:fill="EE0000"/>
                            <w:vAlign w:val="center"/>
                            <w:hideMark/>
                          </w:tcPr>
                          <w:p w14:paraId="69E7A806" w14:textId="77777777" w:rsidR="00ED33A6" w:rsidRPr="0043045E" w:rsidRDefault="00ED33A6" w:rsidP="00BC32F0">
                            <w:pPr>
                              <w:rPr>
                                <w:rFonts w:eastAsia="Times New Roman"/>
                                <w:color w:val="000000"/>
                                <w:sz w:val="16"/>
                                <w:szCs w:val="16"/>
                                <w:lang w:eastAsia="en-US"/>
                              </w:rPr>
                            </w:pPr>
                            <w:r w:rsidRPr="0043045E">
                              <w:rPr>
                                <w:rFonts w:eastAsia="Times New Roman"/>
                                <w:color w:val="000000"/>
                                <w:sz w:val="16"/>
                                <w:szCs w:val="16"/>
                                <w:lang w:eastAsia="en-US"/>
                              </w:rPr>
                              <w:t> </w:t>
                            </w:r>
                          </w:p>
                        </w:tc>
                      </w:tr>
                      <w:tr w:rsidR="00ED33A6" w:rsidRPr="0043045E" w14:paraId="7AE6D647" w14:textId="77777777" w:rsidTr="00BC32F0">
                        <w:trPr>
                          <w:trHeight w:val="284"/>
                        </w:trPr>
                        <w:tc>
                          <w:tcPr>
                            <w:tcW w:w="2542" w:type="dxa"/>
                            <w:vAlign w:val="center"/>
                            <w:hideMark/>
                          </w:tcPr>
                          <w:p w14:paraId="01D2DE55" w14:textId="77777777" w:rsidR="00ED33A6" w:rsidRPr="0043045E" w:rsidRDefault="00ED33A6" w:rsidP="00BC32F0">
                            <w:pPr>
                              <w:rPr>
                                <w:rFonts w:eastAsia="Times New Roman"/>
                                <w:b/>
                                <w:bCs/>
                                <w:color w:val="000000"/>
                                <w:sz w:val="16"/>
                                <w:szCs w:val="16"/>
                                <w:lang w:eastAsia="en-US"/>
                              </w:rPr>
                            </w:pPr>
                            <w:r w:rsidRPr="0043045E">
                              <w:rPr>
                                <w:rFonts w:eastAsia="Times New Roman"/>
                                <w:b/>
                                <w:bCs/>
                                <w:color w:val="000000"/>
                                <w:sz w:val="16"/>
                                <w:szCs w:val="16"/>
                                <w:lang w:eastAsia="en-US"/>
                              </w:rPr>
                              <w:t>4. Private Sector</w:t>
                            </w:r>
                          </w:p>
                        </w:tc>
                        <w:tc>
                          <w:tcPr>
                            <w:tcW w:w="960" w:type="dxa"/>
                            <w:shd w:val="clear" w:color="auto" w:fill="92D050"/>
                            <w:vAlign w:val="center"/>
                            <w:hideMark/>
                          </w:tcPr>
                          <w:p w14:paraId="11A826D8" w14:textId="77777777" w:rsidR="00ED33A6" w:rsidRPr="0043045E" w:rsidRDefault="00ED33A6" w:rsidP="00BC32F0">
                            <w:pPr>
                              <w:rPr>
                                <w:rFonts w:eastAsia="Times New Roman"/>
                                <w:color w:val="000000"/>
                                <w:sz w:val="16"/>
                                <w:szCs w:val="16"/>
                                <w:lang w:eastAsia="en-US"/>
                              </w:rPr>
                            </w:pPr>
                            <w:r w:rsidRPr="0043045E">
                              <w:rPr>
                                <w:rFonts w:eastAsia="Times New Roman"/>
                                <w:color w:val="000000"/>
                                <w:sz w:val="16"/>
                                <w:szCs w:val="16"/>
                                <w:lang w:eastAsia="en-US"/>
                              </w:rPr>
                              <w:t> </w:t>
                            </w:r>
                          </w:p>
                        </w:tc>
                      </w:tr>
                      <w:tr w:rsidR="00ED33A6" w:rsidRPr="0043045E" w14:paraId="1D173D9B" w14:textId="77777777" w:rsidTr="00BC32F0">
                        <w:trPr>
                          <w:trHeight w:val="284"/>
                        </w:trPr>
                        <w:tc>
                          <w:tcPr>
                            <w:tcW w:w="2542" w:type="dxa"/>
                            <w:vAlign w:val="center"/>
                            <w:hideMark/>
                          </w:tcPr>
                          <w:p w14:paraId="04B76047" w14:textId="77777777" w:rsidR="00ED33A6" w:rsidRPr="0043045E" w:rsidRDefault="00ED33A6" w:rsidP="00BC32F0">
                            <w:pPr>
                              <w:rPr>
                                <w:rFonts w:eastAsia="Times New Roman"/>
                                <w:b/>
                                <w:bCs/>
                                <w:color w:val="000000"/>
                                <w:sz w:val="16"/>
                                <w:szCs w:val="16"/>
                                <w:lang w:eastAsia="en-US"/>
                              </w:rPr>
                            </w:pPr>
                            <w:r w:rsidRPr="0043045E">
                              <w:rPr>
                                <w:rFonts w:eastAsia="Times New Roman"/>
                                <w:b/>
                                <w:bCs/>
                                <w:color w:val="000000"/>
                                <w:sz w:val="16"/>
                                <w:szCs w:val="16"/>
                                <w:lang w:eastAsia="en-US"/>
                              </w:rPr>
                              <w:t>5. PMPA Harmonization</w:t>
                            </w:r>
                          </w:p>
                        </w:tc>
                        <w:tc>
                          <w:tcPr>
                            <w:tcW w:w="960" w:type="dxa"/>
                            <w:shd w:val="clear" w:color="auto" w:fill="FFC000"/>
                            <w:vAlign w:val="center"/>
                            <w:hideMark/>
                          </w:tcPr>
                          <w:p w14:paraId="09F52849" w14:textId="77777777" w:rsidR="00ED33A6" w:rsidRPr="0043045E" w:rsidRDefault="00ED33A6" w:rsidP="00BC32F0">
                            <w:pPr>
                              <w:rPr>
                                <w:rFonts w:eastAsia="Times New Roman"/>
                                <w:color w:val="000000"/>
                                <w:sz w:val="16"/>
                                <w:szCs w:val="16"/>
                                <w:lang w:eastAsia="en-US"/>
                              </w:rPr>
                            </w:pPr>
                            <w:r w:rsidRPr="0043045E">
                              <w:rPr>
                                <w:rFonts w:eastAsia="Times New Roman"/>
                                <w:color w:val="000000"/>
                                <w:sz w:val="16"/>
                                <w:szCs w:val="16"/>
                                <w:lang w:eastAsia="en-US"/>
                              </w:rPr>
                              <w:t> </w:t>
                            </w:r>
                          </w:p>
                        </w:tc>
                      </w:tr>
                      <w:tr w:rsidR="00ED33A6" w:rsidRPr="0043045E" w14:paraId="403AEF3B" w14:textId="77777777" w:rsidTr="00BC32F0">
                        <w:trPr>
                          <w:trHeight w:val="284"/>
                        </w:trPr>
                        <w:tc>
                          <w:tcPr>
                            <w:tcW w:w="2542" w:type="dxa"/>
                            <w:vAlign w:val="center"/>
                            <w:hideMark/>
                          </w:tcPr>
                          <w:p w14:paraId="1FA328EB" w14:textId="77777777" w:rsidR="00ED33A6" w:rsidRPr="0043045E" w:rsidRDefault="00ED33A6" w:rsidP="00BC32F0">
                            <w:pPr>
                              <w:rPr>
                                <w:rFonts w:eastAsia="Times New Roman"/>
                                <w:b/>
                                <w:bCs/>
                                <w:color w:val="000000"/>
                                <w:sz w:val="16"/>
                                <w:szCs w:val="16"/>
                                <w:lang w:eastAsia="en-US"/>
                              </w:rPr>
                            </w:pPr>
                            <w:r w:rsidRPr="0043045E">
                              <w:rPr>
                                <w:rFonts w:eastAsia="Times New Roman"/>
                                <w:b/>
                                <w:bCs/>
                                <w:color w:val="000000"/>
                                <w:sz w:val="16"/>
                                <w:szCs w:val="16"/>
                                <w:lang w:eastAsia="en-US"/>
                              </w:rPr>
                              <w:t>6. Operational Undertakings</w:t>
                            </w:r>
                          </w:p>
                        </w:tc>
                        <w:tc>
                          <w:tcPr>
                            <w:tcW w:w="960" w:type="dxa"/>
                            <w:shd w:val="clear" w:color="auto" w:fill="FFC000"/>
                            <w:vAlign w:val="center"/>
                            <w:hideMark/>
                          </w:tcPr>
                          <w:p w14:paraId="51658F65" w14:textId="77777777" w:rsidR="00ED33A6" w:rsidRPr="0043045E" w:rsidRDefault="00ED33A6" w:rsidP="00BC32F0">
                            <w:pPr>
                              <w:rPr>
                                <w:rFonts w:eastAsia="Times New Roman"/>
                                <w:color w:val="000000"/>
                                <w:sz w:val="16"/>
                                <w:szCs w:val="16"/>
                                <w:lang w:eastAsia="en-US"/>
                              </w:rPr>
                            </w:pPr>
                            <w:r w:rsidRPr="0043045E">
                              <w:rPr>
                                <w:rFonts w:eastAsia="Times New Roman"/>
                                <w:color w:val="000000"/>
                                <w:sz w:val="16"/>
                                <w:szCs w:val="16"/>
                                <w:lang w:eastAsia="en-US"/>
                              </w:rPr>
                              <w:t> </w:t>
                            </w:r>
                          </w:p>
                        </w:tc>
                      </w:tr>
                      <w:tr w:rsidR="00ED33A6" w:rsidRPr="0043045E" w14:paraId="625CE872" w14:textId="77777777" w:rsidTr="00BC32F0">
                        <w:trPr>
                          <w:trHeight w:val="284"/>
                        </w:trPr>
                        <w:tc>
                          <w:tcPr>
                            <w:tcW w:w="2542" w:type="dxa"/>
                            <w:vAlign w:val="center"/>
                            <w:hideMark/>
                          </w:tcPr>
                          <w:p w14:paraId="2FF88699" w14:textId="77777777" w:rsidR="00ED33A6" w:rsidRPr="0043045E" w:rsidRDefault="00ED33A6" w:rsidP="00BC32F0">
                            <w:pPr>
                              <w:rPr>
                                <w:rFonts w:eastAsia="Times New Roman"/>
                                <w:b/>
                                <w:bCs/>
                                <w:color w:val="000000"/>
                                <w:sz w:val="16"/>
                                <w:szCs w:val="16"/>
                                <w:lang w:eastAsia="en-US"/>
                              </w:rPr>
                            </w:pPr>
                            <w:r w:rsidRPr="0043045E">
                              <w:rPr>
                                <w:rFonts w:eastAsia="Times New Roman"/>
                                <w:b/>
                                <w:bCs/>
                                <w:color w:val="000000"/>
                                <w:sz w:val="16"/>
                                <w:szCs w:val="16"/>
                                <w:lang w:eastAsia="en-US"/>
                              </w:rPr>
                              <w:t>7. Monitoring &amp; Reporting</w:t>
                            </w:r>
                          </w:p>
                        </w:tc>
                        <w:tc>
                          <w:tcPr>
                            <w:tcW w:w="960" w:type="dxa"/>
                            <w:shd w:val="clear" w:color="auto" w:fill="FFC000"/>
                            <w:vAlign w:val="center"/>
                            <w:hideMark/>
                          </w:tcPr>
                          <w:p w14:paraId="6C505F17" w14:textId="77777777" w:rsidR="00ED33A6" w:rsidRPr="0043045E" w:rsidRDefault="00ED33A6" w:rsidP="00BC32F0">
                            <w:pPr>
                              <w:rPr>
                                <w:rFonts w:eastAsia="Times New Roman"/>
                                <w:color w:val="000000"/>
                                <w:sz w:val="16"/>
                                <w:szCs w:val="16"/>
                                <w:lang w:eastAsia="en-US"/>
                              </w:rPr>
                            </w:pPr>
                            <w:r w:rsidRPr="0043045E">
                              <w:rPr>
                                <w:rFonts w:eastAsia="Times New Roman"/>
                                <w:color w:val="000000"/>
                                <w:sz w:val="16"/>
                                <w:szCs w:val="16"/>
                                <w:lang w:eastAsia="en-US"/>
                              </w:rPr>
                              <w:t> </w:t>
                            </w:r>
                          </w:p>
                        </w:tc>
                      </w:tr>
                      <w:tr w:rsidR="00ED33A6" w:rsidRPr="0043045E" w14:paraId="3987EBE9" w14:textId="77777777" w:rsidTr="00BC32F0">
                        <w:trPr>
                          <w:trHeight w:val="284"/>
                        </w:trPr>
                        <w:tc>
                          <w:tcPr>
                            <w:tcW w:w="2542" w:type="dxa"/>
                            <w:vAlign w:val="center"/>
                            <w:hideMark/>
                          </w:tcPr>
                          <w:p w14:paraId="214E3741" w14:textId="77777777" w:rsidR="00ED33A6" w:rsidRPr="0043045E" w:rsidRDefault="00ED33A6" w:rsidP="00BC32F0">
                            <w:pPr>
                              <w:rPr>
                                <w:rFonts w:eastAsia="Times New Roman"/>
                                <w:b/>
                                <w:bCs/>
                                <w:color w:val="000000"/>
                                <w:sz w:val="16"/>
                                <w:szCs w:val="16"/>
                                <w:lang w:eastAsia="en-US"/>
                              </w:rPr>
                            </w:pPr>
                            <w:r w:rsidRPr="0043045E">
                              <w:rPr>
                                <w:rFonts w:eastAsia="Times New Roman"/>
                                <w:b/>
                                <w:bCs/>
                                <w:color w:val="000000"/>
                                <w:sz w:val="16"/>
                                <w:szCs w:val="16"/>
                                <w:lang w:eastAsia="en-US"/>
                              </w:rPr>
                              <w:t>8. Accountability Framework</w:t>
                            </w:r>
                          </w:p>
                        </w:tc>
                        <w:tc>
                          <w:tcPr>
                            <w:tcW w:w="960" w:type="dxa"/>
                            <w:shd w:val="clear" w:color="auto" w:fill="FFC000"/>
                            <w:vAlign w:val="center"/>
                            <w:hideMark/>
                          </w:tcPr>
                          <w:p w14:paraId="50AA8A49" w14:textId="77777777" w:rsidR="00ED33A6" w:rsidRPr="0043045E" w:rsidRDefault="00ED33A6" w:rsidP="00BC32F0">
                            <w:pPr>
                              <w:rPr>
                                <w:rFonts w:eastAsia="Times New Roman"/>
                                <w:color w:val="000000"/>
                                <w:sz w:val="16"/>
                                <w:szCs w:val="16"/>
                                <w:lang w:eastAsia="en-US"/>
                              </w:rPr>
                            </w:pPr>
                            <w:r w:rsidRPr="0043045E">
                              <w:rPr>
                                <w:rFonts w:eastAsia="Times New Roman"/>
                                <w:color w:val="000000"/>
                                <w:sz w:val="16"/>
                                <w:szCs w:val="16"/>
                                <w:lang w:eastAsia="en-US"/>
                              </w:rPr>
                              <w:t> </w:t>
                            </w:r>
                          </w:p>
                        </w:tc>
                      </w:tr>
                      <w:tr w:rsidR="00ED33A6" w:rsidRPr="0043045E" w14:paraId="3286D82E" w14:textId="77777777" w:rsidTr="00BC32F0">
                        <w:trPr>
                          <w:trHeight w:val="284"/>
                        </w:trPr>
                        <w:tc>
                          <w:tcPr>
                            <w:tcW w:w="2542" w:type="dxa"/>
                            <w:vAlign w:val="center"/>
                            <w:hideMark/>
                          </w:tcPr>
                          <w:p w14:paraId="2E7217DF" w14:textId="77777777" w:rsidR="00ED33A6" w:rsidRPr="0043045E" w:rsidRDefault="00ED33A6" w:rsidP="00BC32F0">
                            <w:pPr>
                              <w:rPr>
                                <w:rFonts w:eastAsia="Times New Roman"/>
                                <w:b/>
                                <w:bCs/>
                                <w:color w:val="000000"/>
                                <w:sz w:val="16"/>
                                <w:szCs w:val="16"/>
                                <w:lang w:eastAsia="en-US"/>
                              </w:rPr>
                            </w:pPr>
                            <w:r w:rsidRPr="0043045E">
                              <w:rPr>
                                <w:rFonts w:eastAsia="Times New Roman"/>
                                <w:b/>
                                <w:bCs/>
                                <w:color w:val="000000"/>
                                <w:sz w:val="16"/>
                                <w:szCs w:val="16"/>
                                <w:lang w:eastAsia="en-US"/>
                              </w:rPr>
                              <w:t>9. Hosting Role</w:t>
                            </w:r>
                          </w:p>
                        </w:tc>
                        <w:tc>
                          <w:tcPr>
                            <w:tcW w:w="960" w:type="dxa"/>
                            <w:shd w:val="clear" w:color="auto" w:fill="FFC000"/>
                            <w:vAlign w:val="center"/>
                            <w:hideMark/>
                          </w:tcPr>
                          <w:p w14:paraId="6A0A91C3" w14:textId="77777777" w:rsidR="00ED33A6" w:rsidRPr="0043045E" w:rsidRDefault="00ED33A6" w:rsidP="00BC32F0">
                            <w:pPr>
                              <w:rPr>
                                <w:rFonts w:eastAsia="Times New Roman"/>
                                <w:color w:val="000000"/>
                                <w:sz w:val="16"/>
                                <w:szCs w:val="16"/>
                                <w:lang w:eastAsia="en-US"/>
                              </w:rPr>
                            </w:pPr>
                            <w:r w:rsidRPr="0043045E">
                              <w:rPr>
                                <w:rFonts w:eastAsia="Times New Roman"/>
                                <w:color w:val="000000"/>
                                <w:sz w:val="16"/>
                                <w:szCs w:val="16"/>
                                <w:lang w:eastAsia="en-US"/>
                              </w:rPr>
                              <w:t> </w:t>
                            </w:r>
                          </w:p>
                        </w:tc>
                      </w:tr>
                      <w:tr w:rsidR="00ED33A6" w:rsidRPr="0043045E" w14:paraId="73735C4D" w14:textId="77777777" w:rsidTr="00BC32F0">
                        <w:trPr>
                          <w:trHeight w:val="284"/>
                        </w:trPr>
                        <w:tc>
                          <w:tcPr>
                            <w:tcW w:w="2542" w:type="dxa"/>
                            <w:vAlign w:val="center"/>
                            <w:hideMark/>
                          </w:tcPr>
                          <w:p w14:paraId="7A203D97" w14:textId="77777777" w:rsidR="00ED33A6" w:rsidRPr="0043045E" w:rsidRDefault="00ED33A6" w:rsidP="00BC32F0">
                            <w:pPr>
                              <w:rPr>
                                <w:rFonts w:eastAsia="Times New Roman"/>
                                <w:b/>
                                <w:bCs/>
                                <w:color w:val="000000"/>
                                <w:sz w:val="16"/>
                                <w:szCs w:val="16"/>
                                <w:lang w:eastAsia="en-US"/>
                              </w:rPr>
                            </w:pPr>
                            <w:r w:rsidRPr="0043045E">
                              <w:rPr>
                                <w:rFonts w:eastAsia="Times New Roman"/>
                                <w:b/>
                                <w:bCs/>
                                <w:color w:val="000000"/>
                                <w:sz w:val="16"/>
                                <w:szCs w:val="16"/>
                                <w:lang w:eastAsia="en-US"/>
                              </w:rPr>
                              <w:t>10. Leveraging AU Support</w:t>
                            </w:r>
                          </w:p>
                        </w:tc>
                        <w:tc>
                          <w:tcPr>
                            <w:tcW w:w="960" w:type="dxa"/>
                            <w:shd w:val="clear" w:color="auto" w:fill="FFC000"/>
                            <w:vAlign w:val="center"/>
                            <w:hideMark/>
                          </w:tcPr>
                          <w:p w14:paraId="41E7C4BD" w14:textId="77777777" w:rsidR="00ED33A6" w:rsidRPr="0043045E" w:rsidRDefault="00ED33A6" w:rsidP="00BC32F0">
                            <w:pPr>
                              <w:rPr>
                                <w:rFonts w:eastAsia="Times New Roman"/>
                                <w:color w:val="000000"/>
                                <w:sz w:val="16"/>
                                <w:szCs w:val="16"/>
                                <w:lang w:eastAsia="en-US"/>
                              </w:rPr>
                            </w:pPr>
                            <w:r w:rsidRPr="0043045E">
                              <w:rPr>
                                <w:rFonts w:eastAsia="Times New Roman"/>
                                <w:color w:val="000000"/>
                                <w:sz w:val="16"/>
                                <w:szCs w:val="16"/>
                                <w:lang w:eastAsia="en-US"/>
                              </w:rPr>
                              <w:t> </w:t>
                            </w:r>
                          </w:p>
                        </w:tc>
                      </w:tr>
                    </w:tbl>
                    <w:p w14:paraId="2BA8E76A" w14:textId="77777777" w:rsidR="00ED33A6" w:rsidRDefault="00ED33A6" w:rsidP="00ED33A6">
                      <w:pPr>
                        <w:rPr>
                          <w:b/>
                          <w:bCs/>
                          <w:i/>
                          <w:iCs/>
                          <w:color w:val="595959"/>
                          <w:sz w:val="19"/>
                          <w:szCs w:val="19"/>
                        </w:rPr>
                      </w:pPr>
                      <w:r w:rsidRPr="003B36BA">
                        <w:rPr>
                          <w:b/>
                          <w:bCs/>
                          <w:i/>
                          <w:iCs/>
                          <w:color w:val="595959"/>
                          <w:sz w:val="19"/>
                          <w:szCs w:val="19"/>
                        </w:rPr>
                        <w:t>Green = On Track, Amber = Partial, Red = Off Track</w:t>
                      </w:r>
                    </w:p>
                    <w:p w14:paraId="09C2A7A6" w14:textId="77777777" w:rsidR="00ED33A6" w:rsidRDefault="00ED33A6" w:rsidP="00ED33A6"/>
                  </w:txbxContent>
                </v:textbox>
                <w10:wrap type="square"/>
              </v:shape>
            </w:pict>
          </mc:Fallback>
        </mc:AlternateContent>
      </w:r>
      <w:r w:rsidR="007D68F7">
        <w:rPr>
          <w:color w:val="000000"/>
        </w:rPr>
        <w:t>Cameroon’s scorecard shows an ambitious but unfinished reform trajectory, with two commitments rated On Track, seven rated Partial, and one rated Off Track. The two On Track ratings reflect meaningful progress in partner leverage and private-sector engagement, particularly through SPARK-Health and the SUCAM PPP. The seven Partial ratings capture the fact that many important reform elements are present but not yet secured through law, broad-scale implementation, or stable financing. The Off Track rating on domestic resource mobilization reflects persistently low public spending and very high out-of-pocket costs. Overall, the scorecard is consistent with a country piloting promising reform instruments without yet having the legal and fiscal base needed for full-scale UHC implementation.</w:t>
      </w:r>
    </w:p>
    <w:p w14:paraId="40908871" w14:textId="77777777" w:rsidR="007D68F7" w:rsidRPr="003B36BA" w:rsidRDefault="007D68F7" w:rsidP="007D68F7">
      <w:pPr>
        <w:spacing w:before="80" w:after="80"/>
      </w:pPr>
    </w:p>
    <w:p w14:paraId="03CF2B46" w14:textId="0456B084" w:rsidR="007D68F7" w:rsidRPr="00227E89" w:rsidRDefault="00227E89" w:rsidP="00227E89">
      <w:pPr>
        <w:pStyle w:val="Heading2"/>
      </w:pPr>
      <w:bookmarkStart w:id="19" w:name="Toc227922626"/>
      <w:bookmarkStart w:id="20" w:name="Toc227925832"/>
      <w:bookmarkStart w:id="21" w:name="Toc228333062"/>
      <w:bookmarkStart w:id="22" w:name="_Toc229185851"/>
      <w:bookmarkEnd w:id="19"/>
      <w:bookmarkEnd w:id="20"/>
      <w:r w:rsidRPr="00227E89">
        <w:lastRenderedPageBreak/>
        <w:t xml:space="preserve">5. </w:t>
      </w:r>
      <w:bookmarkEnd w:id="21"/>
      <w:bookmarkEnd w:id="22"/>
      <w:r w:rsidR="008A550B" w:rsidRPr="008A550B">
        <w:t>Key Lessons and Policy Implications</w:t>
      </w:r>
    </w:p>
    <w:p w14:paraId="3DBBD633" w14:textId="77777777" w:rsidR="007D68F7" w:rsidRPr="003B36BA" w:rsidRDefault="007D68F7" w:rsidP="007D68F7">
      <w:pPr>
        <w:pStyle w:val="ListParagraph"/>
        <w:numPr>
          <w:ilvl w:val="0"/>
          <w:numId w:val="1"/>
        </w:numPr>
        <w:spacing w:before="40" w:after="40" w:line="280" w:lineRule="auto"/>
        <w:contextualSpacing w:val="0"/>
        <w:jc w:val="both"/>
      </w:pPr>
      <w:r w:rsidRPr="003B36BA">
        <w:t>PPP as UHC delivery model. Cameroon's SUCAM contract is the boldest service-delivery PPP in African UHC financing. Its success or failure will shape the continental PPP debate. Early signals on enrolment uptake and governance are mixed, reinforcing that PPPs require robust regulatory frameworks as prerequisite (Egypt's three-authority model being the reference).</w:t>
      </w:r>
    </w:p>
    <w:p w14:paraId="6A153E16" w14:textId="77777777" w:rsidR="007D68F7" w:rsidRPr="003B36BA" w:rsidRDefault="007D68F7" w:rsidP="007D68F7">
      <w:pPr>
        <w:pStyle w:val="ListParagraph"/>
        <w:numPr>
          <w:ilvl w:val="0"/>
          <w:numId w:val="1"/>
        </w:numPr>
        <w:spacing w:before="40" w:after="40" w:line="280" w:lineRule="auto"/>
        <w:contextualSpacing w:val="0"/>
        <w:jc w:val="both"/>
      </w:pPr>
      <w:r w:rsidRPr="003B36BA">
        <w:t>PBF as stepping stone. Cameroon's 14-year PBF trajectory demonstrates that PBF alone is not a path to UHC but can serve as a stepping stone — improving facility-level accountability, information systems, and provider autonomy that are preconditions for an insurance-based financing architecture.</w:t>
      </w:r>
    </w:p>
    <w:p w14:paraId="4BFBD0D8" w14:textId="77777777" w:rsidR="007D68F7" w:rsidRPr="003B36BA" w:rsidRDefault="007D68F7" w:rsidP="007D68F7">
      <w:pPr>
        <w:pStyle w:val="ListParagraph"/>
        <w:numPr>
          <w:ilvl w:val="0"/>
          <w:numId w:val="1"/>
        </w:numPr>
        <w:spacing w:before="40" w:after="40" w:line="280" w:lineRule="auto"/>
        <w:contextualSpacing w:val="0"/>
        <w:jc w:val="both"/>
      </w:pPr>
      <w:r w:rsidRPr="003B36BA">
        <w:t>Voucher systems as targeted equity tool. Chèque Santé's targeting of pregnant women for free obstetric care is a replicable demand-side intervention, particularly in contexts where full insurance coverage is fiscally infeasible in the short term.</w:t>
      </w:r>
    </w:p>
    <w:p w14:paraId="1687DC2B" w14:textId="77777777" w:rsidR="007D68F7" w:rsidRDefault="007D68F7" w:rsidP="007D68F7">
      <w:pPr>
        <w:pStyle w:val="ListParagraph"/>
        <w:numPr>
          <w:ilvl w:val="0"/>
          <w:numId w:val="1"/>
        </w:numPr>
        <w:jc w:val="both"/>
      </w:pPr>
      <w:r>
        <w:t>The main missing piece in Cameroon is still the legal framework. Without it, the PPP remains exposed, PBF sustainability is uncertain, and the 2017 political commitment lacks full institutional backing.</w:t>
      </w:r>
    </w:p>
    <w:p w14:paraId="75160E19" w14:textId="77777777" w:rsidR="007D68F7" w:rsidRPr="003B36BA" w:rsidRDefault="007D68F7" w:rsidP="007D68F7">
      <w:pPr>
        <w:pStyle w:val="ListParagraph"/>
        <w:numPr>
          <w:ilvl w:val="0"/>
          <w:numId w:val="1"/>
        </w:numPr>
        <w:spacing w:before="40" w:after="40" w:line="280" w:lineRule="auto"/>
        <w:contextualSpacing w:val="0"/>
        <w:jc w:val="both"/>
      </w:pPr>
      <w:r w:rsidRPr="003B36BA">
        <w:t>Treasury–MOH coordination. Cameroon's 30-day Financial Control commitment time (vs several months previously) and the 500 million CFA weekly Treasury disbursement are concrete public-financial-management wins. The information-sharing framework between Treasury Committee, DRFP, and Specialized Paymaster is a replicable mechanism for ALM Commitment 6(vi) biennial Minister-level coordination.</w:t>
      </w:r>
    </w:p>
    <w:p w14:paraId="5247A548" w14:textId="77777777" w:rsidR="007D68F7" w:rsidRDefault="007D68F7" w:rsidP="007D68F7">
      <w:pPr>
        <w:spacing w:before="80" w:after="120" w:line="276" w:lineRule="auto"/>
        <w:jc w:val="both"/>
        <w:rPr>
          <w:color w:val="000000"/>
        </w:rPr>
      </w:pPr>
    </w:p>
    <w:p w14:paraId="12DE2057" w14:textId="77777777" w:rsidR="007D68F7" w:rsidRDefault="007D68F7" w:rsidP="007D68F7">
      <w:pPr>
        <w:spacing w:before="80" w:after="120" w:line="276" w:lineRule="auto"/>
        <w:jc w:val="both"/>
        <w:rPr>
          <w:color w:val="000000"/>
        </w:rPr>
      </w:pPr>
    </w:p>
    <w:p w14:paraId="39DC7DCD" w14:textId="77777777" w:rsidR="007D68F7" w:rsidRPr="006A5731" w:rsidRDefault="007D68F7" w:rsidP="007D68F7">
      <w:pPr>
        <w:rPr>
          <w:b/>
          <w:bCs/>
        </w:rPr>
      </w:pPr>
      <w:r w:rsidRPr="006A5731">
        <w:rPr>
          <w:b/>
          <w:bCs/>
        </w:rPr>
        <w:t>Editor</w:t>
      </w:r>
      <w:r>
        <w:rPr>
          <w:b/>
          <w:bCs/>
        </w:rPr>
        <w:t>s</w:t>
      </w:r>
      <w:r w:rsidRPr="006A5731">
        <w:rPr>
          <w:b/>
          <w:bCs/>
        </w:rPr>
        <w:t xml:space="preserve">: </w:t>
      </w:r>
      <w:r w:rsidRPr="00687B59">
        <w:t>Caroline Kwamboka, Matthias Brucker</w:t>
      </w:r>
    </w:p>
    <w:p w14:paraId="5AD2F205" w14:textId="77777777" w:rsidR="007D68F7" w:rsidRDefault="007D68F7" w:rsidP="007D68F7">
      <w:pPr>
        <w:spacing w:before="80" w:after="200" w:line="280" w:lineRule="auto"/>
        <w:jc w:val="both"/>
      </w:pPr>
      <w:r>
        <w:rPr>
          <w:b/>
          <w:bCs/>
        </w:rPr>
        <w:t xml:space="preserve">Author: </w:t>
      </w:r>
      <w:r w:rsidRPr="00687B59">
        <w:t xml:space="preserve">Chris Alando </w:t>
      </w:r>
    </w:p>
    <w:p w14:paraId="699B8DC5" w14:textId="42BF4106" w:rsidR="007D68F7" w:rsidRPr="00687B59" w:rsidRDefault="007D68F7" w:rsidP="007D68F7">
      <w:pPr>
        <w:spacing w:before="80" w:after="200" w:line="280" w:lineRule="auto"/>
        <w:jc w:val="both"/>
      </w:pPr>
      <w:r>
        <w:t xml:space="preserve">© </w:t>
      </w:r>
      <w:r w:rsidRPr="00687B59">
        <w:t>African Renaissance Trust</w:t>
      </w:r>
      <w:r>
        <w:t xml:space="preserve">, </w:t>
      </w:r>
      <w:r w:rsidRPr="00687B59">
        <w:t>2026.</w:t>
      </w:r>
    </w:p>
    <w:p w14:paraId="762AE185" w14:textId="77777777" w:rsidR="007D68F7" w:rsidRDefault="007D68F7" w:rsidP="007D68F7">
      <w:pPr>
        <w:spacing w:before="80" w:after="120" w:line="276" w:lineRule="auto"/>
        <w:jc w:val="both"/>
        <w:rPr>
          <w:color w:val="000000"/>
        </w:rPr>
      </w:pPr>
    </w:p>
    <w:p w14:paraId="55164D53" w14:textId="37AF6E92" w:rsidR="007D68F7" w:rsidRDefault="007D68F7" w:rsidP="007D68F7">
      <w:pPr>
        <w:spacing w:before="80" w:after="120" w:line="276" w:lineRule="auto"/>
        <w:jc w:val="both"/>
      </w:pPr>
      <w:r w:rsidRPr="007D68F7">
        <w:rPr>
          <w:b/>
          <w:bCs/>
          <w:color w:val="000000"/>
        </w:rPr>
        <w:t>Key words:</w:t>
      </w:r>
      <w:r>
        <w:rPr>
          <w:color w:val="000000"/>
        </w:rPr>
        <w:t xml:space="preserve"> More health for the money, governance and accountability, </w:t>
      </w:r>
      <w:r>
        <w:t xml:space="preserve">Equity and financial protection, </w:t>
      </w:r>
      <w:r w:rsidR="00903E63">
        <w:t xml:space="preserve">Universal health insurance, </w:t>
      </w:r>
      <w:r>
        <w:t>public-private-partnership, performance-based financing, Cameroon, Central Africa</w:t>
      </w:r>
    </w:p>
    <w:p w14:paraId="63E2EF63" w14:textId="77777777" w:rsidR="007D68F7" w:rsidRDefault="007D68F7" w:rsidP="007D68F7">
      <w:pPr>
        <w:spacing w:before="80" w:after="120" w:line="276" w:lineRule="auto"/>
        <w:jc w:val="both"/>
      </w:pPr>
    </w:p>
    <w:p w14:paraId="37324FCB" w14:textId="77777777" w:rsidR="007D68F7" w:rsidRPr="003F7605" w:rsidRDefault="007D68F7" w:rsidP="007D68F7">
      <w:pPr>
        <w:pStyle w:val="Heading2"/>
      </w:pPr>
      <w:r w:rsidRPr="003F7605">
        <w:t>References</w:t>
      </w:r>
    </w:p>
    <w:p w14:paraId="202BDD63" w14:textId="77777777" w:rsidR="007D68F7" w:rsidRPr="003B36BA" w:rsidRDefault="007D68F7" w:rsidP="007D68F7">
      <w:pPr>
        <w:spacing w:before="60" w:after="60" w:line="259" w:lineRule="auto"/>
      </w:pPr>
      <w:r w:rsidRPr="003B36BA">
        <w:rPr>
          <w:sz w:val="18"/>
          <w:szCs w:val="18"/>
        </w:rPr>
        <w:t xml:space="preserve">World Health Organization. (2025, December). </w:t>
      </w:r>
      <w:r w:rsidRPr="003B36BA">
        <w:rPr>
          <w:i/>
          <w:iCs/>
          <w:sz w:val="18"/>
          <w:szCs w:val="18"/>
        </w:rPr>
        <w:t>Global Health Expenditure Database</w:t>
      </w:r>
      <w:r w:rsidRPr="003B36BA">
        <w:rPr>
          <w:sz w:val="18"/>
          <w:szCs w:val="18"/>
        </w:rPr>
        <w:t>. https://apps.who.int/nha/database</w:t>
      </w:r>
    </w:p>
    <w:p w14:paraId="4DD8F31C" w14:textId="77777777" w:rsidR="007D68F7" w:rsidRPr="003B36BA" w:rsidRDefault="007D68F7" w:rsidP="007D68F7">
      <w:pPr>
        <w:spacing w:before="60" w:after="60" w:line="259" w:lineRule="auto"/>
      </w:pPr>
      <w:r w:rsidRPr="003B36BA">
        <w:rPr>
          <w:sz w:val="18"/>
          <w:szCs w:val="18"/>
        </w:rPr>
        <w:t xml:space="preserve">UNAIDS. (2025). </w:t>
      </w:r>
      <w:r w:rsidRPr="003B36BA">
        <w:rPr>
          <w:i/>
          <w:iCs/>
          <w:sz w:val="18"/>
          <w:szCs w:val="18"/>
        </w:rPr>
        <w:t>AIDSinfo: Global data on HIV epidemiology and response</w:t>
      </w:r>
      <w:r w:rsidRPr="003B36BA">
        <w:rPr>
          <w:sz w:val="18"/>
          <w:szCs w:val="18"/>
        </w:rPr>
        <w:t>. https://aidsinfo.unaids.org</w:t>
      </w:r>
    </w:p>
    <w:p w14:paraId="16F35257" w14:textId="77777777" w:rsidR="007D68F7" w:rsidRPr="003B36BA" w:rsidRDefault="007D68F7" w:rsidP="007D68F7">
      <w:pPr>
        <w:spacing w:before="60" w:after="60" w:line="259" w:lineRule="auto"/>
      </w:pPr>
      <w:r w:rsidRPr="003B36BA">
        <w:rPr>
          <w:sz w:val="18"/>
          <w:szCs w:val="18"/>
        </w:rPr>
        <w:t xml:space="preserve">World Bank. (2025). </w:t>
      </w:r>
      <w:r w:rsidRPr="003B36BA">
        <w:rPr>
          <w:i/>
          <w:iCs/>
          <w:sz w:val="18"/>
          <w:szCs w:val="18"/>
        </w:rPr>
        <w:t>World Development Indicators</w:t>
      </w:r>
      <w:r w:rsidRPr="003B36BA">
        <w:rPr>
          <w:sz w:val="18"/>
          <w:szCs w:val="18"/>
        </w:rPr>
        <w:t>. https://databank.worldbank.org/source/world-development-indicators</w:t>
      </w:r>
    </w:p>
    <w:p w14:paraId="0FAA8CEE" w14:textId="77777777" w:rsidR="007D68F7" w:rsidRPr="00FC5E12" w:rsidRDefault="007D68F7" w:rsidP="007D68F7">
      <w:pPr>
        <w:spacing w:before="60" w:after="60" w:line="259" w:lineRule="auto"/>
      </w:pPr>
      <w:r w:rsidRPr="003B36BA">
        <w:rPr>
          <w:sz w:val="18"/>
          <w:szCs w:val="18"/>
        </w:rPr>
        <w:t xml:space="preserve">AUDA-NEPAD. (2024). </w:t>
      </w:r>
      <w:r w:rsidRPr="003B36BA">
        <w:rPr>
          <w:i/>
          <w:iCs/>
          <w:sz w:val="18"/>
          <w:szCs w:val="18"/>
        </w:rPr>
        <w:t>Africa Scorecard on Domestic Financing for Health</w:t>
      </w:r>
      <w:r w:rsidRPr="003B36BA">
        <w:rPr>
          <w:sz w:val="18"/>
          <w:szCs w:val="18"/>
        </w:rPr>
        <w:t xml:space="preserve">. </w:t>
      </w:r>
      <w:hyperlink r:id="rId6" w:history="1">
        <w:r w:rsidRPr="00FC5E12">
          <w:rPr>
            <w:rStyle w:val="Hyperlink"/>
            <w:sz w:val="18"/>
            <w:szCs w:val="18"/>
          </w:rPr>
          <w:t>https://africascorecard.nepad.org</w:t>
        </w:r>
      </w:hyperlink>
    </w:p>
    <w:p w14:paraId="2B3EE9FB" w14:textId="09A676CD" w:rsidR="007D68F7" w:rsidRPr="003B36BA" w:rsidRDefault="007D68F7" w:rsidP="007D68F7">
      <w:pPr>
        <w:spacing w:before="60" w:after="60" w:line="259" w:lineRule="auto"/>
        <w:rPr>
          <w:kern w:val="2"/>
          <w14:ligatures w14:val="standardContextual"/>
        </w:rPr>
      </w:pPr>
      <w:r w:rsidRPr="003B36BA">
        <w:rPr>
          <w:sz w:val="18"/>
          <w:szCs w:val="18"/>
        </w:rPr>
        <w:t>République du Cameroun. Démarrage de la Couverture Santé Universelle (CSU) Phase 1 — Inauguration à Bertoua, 12 avril 2023 [Communiqué]. Yaoundé: Ministère de la Santé Publique; 2023 .</w:t>
      </w:r>
      <w:r w:rsidRPr="003B36BA">
        <w:rPr>
          <w:i/>
          <w:iCs/>
          <w:color w:val="595959"/>
          <w:sz w:val="18"/>
          <w:szCs w:val="18"/>
        </w:rPr>
        <w:t xml:space="preserve">  </w:t>
      </w:r>
      <w:r w:rsidRPr="003B36BA">
        <w:rPr>
          <w:color w:val="2E75B6"/>
          <w:sz w:val="18"/>
          <w:szCs w:val="18"/>
          <w:u w:val="single"/>
        </w:rPr>
        <w:t>https://www.minsante.cm/csu-phase-1</w:t>
      </w:r>
    </w:p>
    <w:p w14:paraId="27A30F83" w14:textId="52284095" w:rsidR="007D68F7" w:rsidRPr="003B36BA" w:rsidRDefault="007D68F7" w:rsidP="007D68F7">
      <w:pPr>
        <w:spacing w:before="60" w:after="60" w:line="259" w:lineRule="auto"/>
        <w:rPr>
          <w:kern w:val="2"/>
          <w14:ligatures w14:val="standardContextual"/>
        </w:rPr>
      </w:pPr>
      <w:r w:rsidRPr="003B36BA">
        <w:rPr>
          <w:sz w:val="18"/>
          <w:szCs w:val="18"/>
        </w:rPr>
        <w:lastRenderedPageBreak/>
        <w:t>World Bank. Cameroon Health System Performance Strengthening Project (SPARK-Health, P156679). Washington, DC: World Bank Group; 2019–2025.</w:t>
      </w:r>
      <w:r w:rsidRPr="003B36BA">
        <w:rPr>
          <w:i/>
          <w:iCs/>
          <w:color w:val="595959"/>
          <w:sz w:val="18"/>
          <w:szCs w:val="18"/>
        </w:rPr>
        <w:t xml:space="preserve">  </w:t>
      </w:r>
      <w:r w:rsidRPr="003B36BA">
        <w:rPr>
          <w:color w:val="2E75B6"/>
          <w:sz w:val="18"/>
          <w:szCs w:val="18"/>
          <w:u w:val="single"/>
        </w:rPr>
        <w:t>https://projects.worldbank.org/en/projects-operations/project-detail/P156679</w:t>
      </w:r>
    </w:p>
    <w:p w14:paraId="59A10153" w14:textId="28FA4F56" w:rsidR="007D68F7" w:rsidRPr="007D68F7" w:rsidRDefault="007D68F7" w:rsidP="007D68F7">
      <w:pPr>
        <w:spacing w:before="60" w:after="60" w:line="259" w:lineRule="auto"/>
        <w:rPr>
          <w:kern w:val="2"/>
          <w14:ligatures w14:val="standardContextual"/>
        </w:rPr>
      </w:pPr>
      <w:r w:rsidRPr="003B36BA">
        <w:rPr>
          <w:sz w:val="18"/>
          <w:szCs w:val="18"/>
        </w:rPr>
        <w:t>WHO Regional Office for Africa. 2024 Regional Survey on Health Financing Reforms — Cameroon country profile [Internet]. Brazzaville: WHO AFRO; 2024 .</w:t>
      </w:r>
      <w:r w:rsidRPr="003B36BA">
        <w:rPr>
          <w:i/>
          <w:iCs/>
          <w:color w:val="595959"/>
          <w:sz w:val="18"/>
          <w:szCs w:val="18"/>
        </w:rPr>
        <w:t xml:space="preserve">  </w:t>
      </w:r>
      <w:r w:rsidRPr="003B36BA">
        <w:rPr>
          <w:color w:val="2E75B6"/>
          <w:sz w:val="18"/>
          <w:szCs w:val="18"/>
          <w:u w:val="single"/>
        </w:rPr>
        <w:t>https://www.afro.who.int/publications/2024-health-financing-survey</w:t>
      </w:r>
    </w:p>
    <w:p w14:paraId="15A1C43F" w14:textId="77777777" w:rsidR="008E4460" w:rsidRPr="008E4460" w:rsidRDefault="008E4460">
      <w:pPr>
        <w:rPr>
          <w:sz w:val="18"/>
          <w:szCs w:val="18"/>
        </w:rPr>
      </w:pPr>
    </w:p>
    <w:p w14:paraId="1ACBF640" w14:textId="78300465" w:rsidR="008E4460" w:rsidRPr="008E4460" w:rsidRDefault="008E4460" w:rsidP="008E4460">
      <w:pPr>
        <w:rPr>
          <w:b/>
          <w:bCs/>
          <w:sz w:val="18"/>
          <w:szCs w:val="18"/>
        </w:rPr>
      </w:pPr>
      <w:r w:rsidRPr="008E4460">
        <w:rPr>
          <w:b/>
          <w:bCs/>
          <w:sz w:val="18"/>
          <w:szCs w:val="18"/>
        </w:rPr>
        <w:t>ALM score card sources: Cameroon (2/10 On Track, 7 Partial, 1 Off Track)</w:t>
      </w:r>
    </w:p>
    <w:p w14:paraId="1DB2B28B" w14:textId="77777777" w:rsidR="008E4460" w:rsidRPr="008E4460" w:rsidRDefault="008E4460" w:rsidP="008E4460">
      <w:pPr>
        <w:spacing w:before="80" w:after="30" w:line="250" w:lineRule="auto"/>
        <w:rPr>
          <w:sz w:val="18"/>
          <w:szCs w:val="18"/>
        </w:rPr>
      </w:pPr>
      <w:r w:rsidRPr="008E4460">
        <w:rPr>
          <w:b/>
          <w:bCs/>
          <w:color w:val="1F3864"/>
          <w:sz w:val="18"/>
          <w:szCs w:val="18"/>
        </w:rPr>
        <w:t xml:space="preserve">C1: Political agenda — </w:t>
      </w:r>
      <w:r w:rsidRPr="008E4460">
        <w:rPr>
          <w:b/>
          <w:bCs/>
          <w:color w:val="BF8F00"/>
          <w:sz w:val="18"/>
          <w:szCs w:val="18"/>
        </w:rPr>
        <w:t>Partial</w:t>
      </w:r>
      <w:r w:rsidRPr="008E4460">
        <w:rPr>
          <w:color w:val="333333"/>
          <w:sz w:val="18"/>
          <w:szCs w:val="18"/>
        </w:rPr>
        <w:t xml:space="preserve"> Indicators: UHC Phase 1 launched Apr 2023 SUCAM PPP Bertoua; no UHC bill</w:t>
      </w:r>
      <w:r w:rsidRPr="008E4460">
        <w:rPr>
          <w:i/>
          <w:iCs/>
          <w:color w:val="2E75B6"/>
          <w:sz w:val="18"/>
          <w:szCs w:val="18"/>
        </w:rPr>
        <w:t xml:space="preserve"> Sources: UHC Phase 1 launch (minsante.cm/csu-phase-1); MoH Cameroon</w:t>
      </w:r>
    </w:p>
    <w:p w14:paraId="6B78484C" w14:textId="77777777" w:rsidR="008E4460" w:rsidRPr="008E4460" w:rsidRDefault="008E4460" w:rsidP="008E4460">
      <w:pPr>
        <w:spacing w:before="80" w:after="30" w:line="250" w:lineRule="auto"/>
        <w:rPr>
          <w:sz w:val="18"/>
          <w:szCs w:val="18"/>
        </w:rPr>
      </w:pPr>
      <w:r w:rsidRPr="008E4460">
        <w:rPr>
          <w:b/>
          <w:bCs/>
          <w:color w:val="1F3864"/>
          <w:sz w:val="18"/>
          <w:szCs w:val="18"/>
        </w:rPr>
        <w:t xml:space="preserve">C2: Leverage partners — </w:t>
      </w:r>
      <w:r w:rsidRPr="008E4460">
        <w:rPr>
          <w:b/>
          <w:bCs/>
          <w:color w:val="548235"/>
          <w:sz w:val="18"/>
          <w:szCs w:val="18"/>
        </w:rPr>
        <w:t>On Track</w:t>
      </w:r>
      <w:r w:rsidRPr="008E4460">
        <w:rPr>
          <w:color w:val="333333"/>
          <w:sz w:val="18"/>
          <w:szCs w:val="18"/>
        </w:rPr>
        <w:t xml:space="preserve"> Indicators: WB SPARK-Health $220M (2019-2025); WHO, ILO, USAID, GIZ, French/German bilateral</w:t>
      </w:r>
      <w:r w:rsidRPr="008E4460">
        <w:rPr>
          <w:i/>
          <w:iCs/>
          <w:color w:val="2E75B6"/>
          <w:sz w:val="18"/>
          <w:szCs w:val="18"/>
        </w:rPr>
        <w:t xml:space="preserve"> Sources: WB SPARK-Health P156679 (projects.worldbank.org); WHO Cameroon</w:t>
      </w:r>
    </w:p>
    <w:p w14:paraId="007A8898" w14:textId="77777777" w:rsidR="008E4460" w:rsidRPr="008E4460" w:rsidRDefault="008E4460" w:rsidP="008E4460">
      <w:pPr>
        <w:spacing w:before="80" w:after="30" w:line="250" w:lineRule="auto"/>
        <w:rPr>
          <w:sz w:val="18"/>
          <w:szCs w:val="18"/>
        </w:rPr>
      </w:pPr>
      <w:r w:rsidRPr="008E4460">
        <w:rPr>
          <w:b/>
          <w:bCs/>
          <w:color w:val="1F3864"/>
          <w:sz w:val="18"/>
          <w:szCs w:val="18"/>
        </w:rPr>
        <w:t xml:space="preserve">C3: Domestic mobilisation — </w:t>
      </w:r>
      <w:r w:rsidRPr="008E4460">
        <w:rPr>
          <w:b/>
          <w:bCs/>
          <w:color w:val="C00000"/>
          <w:sz w:val="18"/>
          <w:szCs w:val="18"/>
        </w:rPr>
        <w:t>Off Track</w:t>
      </w:r>
      <w:r w:rsidRPr="008E4460">
        <w:rPr>
          <w:color w:val="333333"/>
          <w:sz w:val="18"/>
          <w:szCs w:val="18"/>
        </w:rPr>
        <w:t xml:space="preserve"> Indicators: Health 3.9% GDP; OOP 71.8%; ~$58 per capita; no earmarked taxes; no NHI legislation</w:t>
      </w:r>
      <w:r w:rsidRPr="008E4460">
        <w:rPr>
          <w:i/>
          <w:iCs/>
          <w:color w:val="2E75B6"/>
          <w:sz w:val="18"/>
          <w:szCs w:val="18"/>
        </w:rPr>
        <w:t xml:space="preserve"> Sources: WHO GHED; WB Cameroon PER; WHO AFRO 2024 HF Survey</w:t>
      </w:r>
    </w:p>
    <w:p w14:paraId="77D6E1CB" w14:textId="77777777" w:rsidR="008E4460" w:rsidRPr="008E4460" w:rsidRDefault="008E4460" w:rsidP="008E4460">
      <w:pPr>
        <w:spacing w:before="80" w:after="30" w:line="250" w:lineRule="auto"/>
        <w:rPr>
          <w:sz w:val="18"/>
          <w:szCs w:val="18"/>
        </w:rPr>
      </w:pPr>
      <w:r w:rsidRPr="008E4460">
        <w:rPr>
          <w:b/>
          <w:bCs/>
          <w:color w:val="1F3864"/>
          <w:sz w:val="18"/>
          <w:szCs w:val="18"/>
        </w:rPr>
        <w:t xml:space="preserve">C4: Private sector — </w:t>
      </w:r>
      <w:r w:rsidRPr="008E4460">
        <w:rPr>
          <w:b/>
          <w:bCs/>
          <w:color w:val="548235"/>
          <w:sz w:val="18"/>
          <w:szCs w:val="18"/>
        </w:rPr>
        <w:t>On Track</w:t>
      </w:r>
      <w:r w:rsidRPr="008E4460">
        <w:rPr>
          <w:color w:val="333333"/>
          <w:sz w:val="18"/>
          <w:szCs w:val="18"/>
        </w:rPr>
        <w:t xml:space="preserve"> Indicators: SUCAM PPP = boldest service-delivery PPP on continent; mission hospitals significant</w:t>
      </w:r>
      <w:r w:rsidRPr="008E4460">
        <w:rPr>
          <w:i/>
          <w:iCs/>
          <w:color w:val="2E75B6"/>
          <w:sz w:val="18"/>
          <w:szCs w:val="18"/>
        </w:rPr>
        <w:t xml:space="preserve"> Sources: SUCAM PPP documentation; MoH PPP framework</w:t>
      </w:r>
    </w:p>
    <w:p w14:paraId="09A119E5" w14:textId="77777777" w:rsidR="008E4460" w:rsidRPr="008E4460" w:rsidRDefault="008E4460" w:rsidP="008E4460">
      <w:pPr>
        <w:spacing w:before="80" w:after="30" w:line="250" w:lineRule="auto"/>
        <w:rPr>
          <w:sz w:val="18"/>
          <w:szCs w:val="18"/>
        </w:rPr>
      </w:pPr>
      <w:r w:rsidRPr="008E4460">
        <w:rPr>
          <w:b/>
          <w:bCs/>
          <w:color w:val="1F3864"/>
          <w:sz w:val="18"/>
          <w:szCs w:val="18"/>
        </w:rPr>
        <w:t xml:space="preserve">C5: PMPA — </w:t>
      </w:r>
      <w:r w:rsidRPr="008E4460">
        <w:rPr>
          <w:b/>
          <w:bCs/>
          <w:color w:val="BF8F00"/>
          <w:sz w:val="18"/>
          <w:szCs w:val="18"/>
        </w:rPr>
        <w:t>Partial</w:t>
      </w:r>
      <w:r w:rsidRPr="008E4460">
        <w:rPr>
          <w:color w:val="333333"/>
          <w:sz w:val="18"/>
          <w:szCs w:val="18"/>
        </w:rPr>
        <w:t xml:space="preserve"> Indicators: DPM regulator; limited local pharma; CEMAC harmonisation; OCEAC coordination</w:t>
      </w:r>
      <w:r w:rsidRPr="008E4460">
        <w:rPr>
          <w:i/>
          <w:iCs/>
          <w:color w:val="2E75B6"/>
          <w:sz w:val="18"/>
          <w:szCs w:val="18"/>
        </w:rPr>
        <w:t xml:space="preserve"> Sources: DPM Cameroon; CEMAC Regional Health; OCEAC</w:t>
      </w:r>
    </w:p>
    <w:p w14:paraId="046B097D" w14:textId="77777777" w:rsidR="008E4460" w:rsidRPr="008E4460" w:rsidRDefault="008E4460" w:rsidP="008E4460">
      <w:pPr>
        <w:spacing w:before="80" w:after="30" w:line="250" w:lineRule="auto"/>
        <w:rPr>
          <w:sz w:val="18"/>
          <w:szCs w:val="18"/>
        </w:rPr>
      </w:pPr>
      <w:r w:rsidRPr="008E4460">
        <w:rPr>
          <w:b/>
          <w:bCs/>
          <w:color w:val="1F3864"/>
          <w:sz w:val="18"/>
          <w:szCs w:val="18"/>
        </w:rPr>
        <w:t xml:space="preserve">C6: Operational — </w:t>
      </w:r>
      <w:r w:rsidRPr="008E4460">
        <w:rPr>
          <w:b/>
          <w:bCs/>
          <w:color w:val="BF8F00"/>
          <w:sz w:val="18"/>
          <w:szCs w:val="18"/>
        </w:rPr>
        <w:t>Partial</w:t>
      </w:r>
      <w:r w:rsidRPr="008E4460">
        <w:rPr>
          <w:color w:val="333333"/>
          <w:sz w:val="18"/>
          <w:szCs w:val="18"/>
        </w:rPr>
        <w:t xml:space="preserve"> Indicators: UHC Phase 1 SUCAM PPP; PBF pilots sustainability tied to external financing; no insurance</w:t>
      </w:r>
      <w:r w:rsidRPr="008E4460">
        <w:rPr>
          <w:i/>
          <w:iCs/>
          <w:color w:val="2E75B6"/>
          <w:sz w:val="18"/>
          <w:szCs w:val="18"/>
        </w:rPr>
        <w:t xml:space="preserve"> Sources: Cameroon PBF documentation; SPARK-Health reports</w:t>
      </w:r>
    </w:p>
    <w:p w14:paraId="1957A2BB" w14:textId="77777777" w:rsidR="008E4460" w:rsidRPr="008E4460" w:rsidRDefault="008E4460" w:rsidP="008E4460">
      <w:pPr>
        <w:spacing w:before="80" w:after="30" w:line="250" w:lineRule="auto"/>
        <w:rPr>
          <w:sz w:val="18"/>
          <w:szCs w:val="18"/>
        </w:rPr>
      </w:pPr>
      <w:r w:rsidRPr="008E4460">
        <w:rPr>
          <w:b/>
          <w:bCs/>
          <w:color w:val="1F3864"/>
          <w:sz w:val="18"/>
          <w:szCs w:val="18"/>
        </w:rPr>
        <w:t xml:space="preserve">C7: Monitoring — </w:t>
      </w:r>
      <w:r w:rsidRPr="008E4460">
        <w:rPr>
          <w:b/>
          <w:bCs/>
          <w:color w:val="BF8F00"/>
          <w:sz w:val="18"/>
          <w:szCs w:val="18"/>
        </w:rPr>
        <w:t>Partial</w:t>
      </w:r>
      <w:r w:rsidRPr="008E4460">
        <w:rPr>
          <w:color w:val="333333"/>
          <w:sz w:val="18"/>
          <w:szCs w:val="18"/>
        </w:rPr>
        <w:t xml:space="preserve"> Indicators: DHIS2 partial; NHA periodic; WHO Regional Survey participant; sub-national data quality varies</w:t>
      </w:r>
      <w:r w:rsidRPr="008E4460">
        <w:rPr>
          <w:i/>
          <w:iCs/>
          <w:color w:val="2E75B6"/>
          <w:sz w:val="18"/>
          <w:szCs w:val="18"/>
        </w:rPr>
        <w:t xml:space="preserve"> Sources: Cameroon DHIS2; WHO Cameroon; INS health data</w:t>
      </w:r>
    </w:p>
    <w:p w14:paraId="520A9AC0" w14:textId="77777777" w:rsidR="008E4460" w:rsidRPr="008E4460" w:rsidRDefault="008E4460" w:rsidP="008E4460">
      <w:pPr>
        <w:spacing w:before="80" w:after="30" w:line="250" w:lineRule="auto"/>
        <w:rPr>
          <w:sz w:val="18"/>
          <w:szCs w:val="18"/>
        </w:rPr>
      </w:pPr>
      <w:r w:rsidRPr="008E4460">
        <w:rPr>
          <w:b/>
          <w:bCs/>
          <w:color w:val="1F3864"/>
          <w:sz w:val="18"/>
          <w:szCs w:val="18"/>
        </w:rPr>
        <w:t xml:space="preserve">C8: Accountability — </w:t>
      </w:r>
      <w:r w:rsidRPr="008E4460">
        <w:rPr>
          <w:b/>
          <w:bCs/>
          <w:color w:val="BF8F00"/>
          <w:sz w:val="18"/>
          <w:szCs w:val="18"/>
        </w:rPr>
        <w:t>Partial</w:t>
      </w:r>
      <w:r w:rsidRPr="008E4460">
        <w:rPr>
          <w:color w:val="333333"/>
          <w:sz w:val="18"/>
          <w:szCs w:val="18"/>
        </w:rPr>
        <w:t xml:space="preserve"> Indicators: Limited parliamentary oversight; civil society growing; Cour des Comptes; SPARK-Health monitoring external</w:t>
      </w:r>
      <w:r w:rsidRPr="008E4460">
        <w:rPr>
          <w:i/>
          <w:iCs/>
          <w:color w:val="2E75B6"/>
          <w:sz w:val="18"/>
          <w:szCs w:val="18"/>
        </w:rPr>
        <w:t xml:space="preserve"> Sources: Cour des Comptes audits; SPARK-Health documentation</w:t>
      </w:r>
    </w:p>
    <w:p w14:paraId="7BDFA824" w14:textId="77777777" w:rsidR="008E4460" w:rsidRPr="008E4460" w:rsidRDefault="008E4460" w:rsidP="008E4460">
      <w:pPr>
        <w:spacing w:before="80" w:after="30" w:line="250" w:lineRule="auto"/>
        <w:rPr>
          <w:sz w:val="18"/>
          <w:szCs w:val="18"/>
        </w:rPr>
      </w:pPr>
      <w:r w:rsidRPr="008E4460">
        <w:rPr>
          <w:b/>
          <w:bCs/>
          <w:color w:val="1F3864"/>
          <w:sz w:val="18"/>
          <w:szCs w:val="18"/>
        </w:rPr>
        <w:t xml:space="preserve">C9: Hosting role — </w:t>
      </w:r>
      <w:r w:rsidRPr="008E4460">
        <w:rPr>
          <w:b/>
          <w:bCs/>
          <w:color w:val="BF8F00"/>
          <w:sz w:val="18"/>
          <w:szCs w:val="18"/>
        </w:rPr>
        <w:t>Partial</w:t>
      </w:r>
      <w:r w:rsidRPr="008E4460">
        <w:rPr>
          <w:color w:val="333333"/>
          <w:sz w:val="18"/>
          <w:szCs w:val="18"/>
        </w:rPr>
        <w:t xml:space="preserve"> Indicators: CEMAC HQ; OCEAC in Yaoundé; not major ALM convener</w:t>
      </w:r>
      <w:r w:rsidRPr="008E4460">
        <w:rPr>
          <w:i/>
          <w:iCs/>
          <w:color w:val="2E75B6"/>
          <w:sz w:val="18"/>
          <w:szCs w:val="18"/>
        </w:rPr>
        <w:t xml:space="preserve"> Sources: CEMAC Secretariat; OCEAC Yaoundé</w:t>
      </w:r>
    </w:p>
    <w:p w14:paraId="4E42589A" w14:textId="77777777" w:rsidR="008E4460" w:rsidRPr="008E4460" w:rsidRDefault="008E4460" w:rsidP="008E4460">
      <w:pPr>
        <w:spacing w:before="80" w:after="30" w:line="250" w:lineRule="auto"/>
        <w:rPr>
          <w:sz w:val="18"/>
          <w:szCs w:val="18"/>
        </w:rPr>
      </w:pPr>
      <w:r w:rsidRPr="008E4460">
        <w:rPr>
          <w:b/>
          <w:bCs/>
          <w:color w:val="1F3864"/>
          <w:sz w:val="18"/>
          <w:szCs w:val="18"/>
        </w:rPr>
        <w:t xml:space="preserve">C10: Leveraging AU — </w:t>
      </w:r>
      <w:r w:rsidRPr="008E4460">
        <w:rPr>
          <w:b/>
          <w:bCs/>
          <w:color w:val="BF8F00"/>
          <w:sz w:val="18"/>
          <w:szCs w:val="18"/>
        </w:rPr>
        <w:t>Partial</w:t>
      </w:r>
      <w:r w:rsidRPr="008E4460">
        <w:rPr>
          <w:color w:val="333333"/>
          <w:sz w:val="18"/>
          <w:szCs w:val="18"/>
        </w:rPr>
        <w:t xml:space="preserve"> Indicators: CEMAC+ECCAS integration; AU PAVM participation; limited AVMA engagement</w:t>
      </w:r>
      <w:r w:rsidRPr="008E4460">
        <w:rPr>
          <w:i/>
          <w:iCs/>
          <w:color w:val="2E75B6"/>
          <w:sz w:val="18"/>
          <w:szCs w:val="18"/>
        </w:rPr>
        <w:t xml:space="preserve"> Sources: ECCAS Regional Health; AU PAVM; AUDA-NEPAD</w:t>
      </w:r>
    </w:p>
    <w:p w14:paraId="6425D792" w14:textId="77777777" w:rsidR="008E4460" w:rsidRDefault="008E4460"/>
    <w:sectPr w:rsidR="008E4460">
      <w:pgSz w:w="12240" w:h="15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029B1"/>
    <w:multiLevelType w:val="hybridMultilevel"/>
    <w:tmpl w:val="3AB69FFA"/>
    <w:lvl w:ilvl="0" w:tplc="DC9ABACE">
      <w:start w:val="1"/>
      <w:numFmt w:val="bullet"/>
      <w:lvlText w:val="•"/>
      <w:lvlJc w:val="left"/>
      <w:pPr>
        <w:ind w:left="720" w:hanging="360"/>
      </w:pPr>
    </w:lvl>
    <w:lvl w:ilvl="1" w:tplc="27DC75C2">
      <w:start w:val="1"/>
      <w:numFmt w:val="bullet"/>
      <w:lvlText w:val="◦"/>
      <w:lvlJc w:val="left"/>
      <w:pPr>
        <w:ind w:left="1440" w:hanging="360"/>
      </w:pPr>
    </w:lvl>
    <w:lvl w:ilvl="2" w:tplc="F6F80B5E">
      <w:numFmt w:val="decimal"/>
      <w:lvlText w:val=""/>
      <w:lvlJc w:val="left"/>
    </w:lvl>
    <w:lvl w:ilvl="3" w:tplc="78D272F4">
      <w:numFmt w:val="decimal"/>
      <w:lvlText w:val=""/>
      <w:lvlJc w:val="left"/>
    </w:lvl>
    <w:lvl w:ilvl="4" w:tplc="9A94B808">
      <w:numFmt w:val="decimal"/>
      <w:lvlText w:val=""/>
      <w:lvlJc w:val="left"/>
    </w:lvl>
    <w:lvl w:ilvl="5" w:tplc="BB7068BA">
      <w:numFmt w:val="decimal"/>
      <w:lvlText w:val=""/>
      <w:lvlJc w:val="left"/>
    </w:lvl>
    <w:lvl w:ilvl="6" w:tplc="191A618A">
      <w:numFmt w:val="decimal"/>
      <w:lvlText w:val=""/>
      <w:lvlJc w:val="left"/>
    </w:lvl>
    <w:lvl w:ilvl="7" w:tplc="505C6C6E">
      <w:numFmt w:val="decimal"/>
      <w:lvlText w:val=""/>
      <w:lvlJc w:val="left"/>
    </w:lvl>
    <w:lvl w:ilvl="8" w:tplc="2CE6E61A">
      <w:numFmt w:val="decimal"/>
      <w:lvlText w:val=""/>
      <w:lvlJc w:val="left"/>
    </w:lvl>
  </w:abstractNum>
  <w:abstractNum w:abstractNumId="1" w15:restartNumberingAfterBreak="0">
    <w:nsid w:val="75AA4C19"/>
    <w:multiLevelType w:val="multilevel"/>
    <w:tmpl w:val="5D3E7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36956843">
    <w:abstractNumId w:val="0"/>
    <w:lvlOverride w:ilvl="0">
      <w:startOverride w:val="1"/>
    </w:lvlOverride>
  </w:num>
  <w:num w:numId="2" w16cid:durableId="19528530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8F7"/>
    <w:rsid w:val="000F7228"/>
    <w:rsid w:val="00227E89"/>
    <w:rsid w:val="004D6AF7"/>
    <w:rsid w:val="005F7CE4"/>
    <w:rsid w:val="00610A99"/>
    <w:rsid w:val="00695B9E"/>
    <w:rsid w:val="007D68F7"/>
    <w:rsid w:val="008A550B"/>
    <w:rsid w:val="008E4460"/>
    <w:rsid w:val="00903E63"/>
    <w:rsid w:val="00BD393D"/>
    <w:rsid w:val="00E37418"/>
    <w:rsid w:val="00ED33A6"/>
    <w:rsid w:val="00FA70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6A6052"/>
  <w15:chartTrackingRefBased/>
  <w15:docId w15:val="{4E7D3961-6E02-4774-9DCD-7DB97097A8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8F7"/>
    <w:pPr>
      <w:spacing w:after="0" w:line="240" w:lineRule="auto"/>
    </w:pPr>
    <w:rPr>
      <w:rFonts w:ascii="Arial" w:eastAsia="Arial" w:hAnsi="Arial" w:cs="Arial"/>
      <w:kern w:val="0"/>
      <w:sz w:val="22"/>
      <w:szCs w:val="22"/>
      <w:lang w:eastAsia="zh-CN"/>
      <w14:ligatures w14:val="none"/>
    </w:rPr>
  </w:style>
  <w:style w:type="paragraph" w:styleId="Heading1">
    <w:name w:val="heading 1"/>
    <w:basedOn w:val="Normal"/>
    <w:next w:val="Normal"/>
    <w:link w:val="Heading1Char"/>
    <w:uiPriority w:val="9"/>
    <w:qFormat/>
    <w:rsid w:val="007D68F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D68F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7D68F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68F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68F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68F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68F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68F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68F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68F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D68F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7D68F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68F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68F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68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68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68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68F7"/>
    <w:rPr>
      <w:rFonts w:eastAsiaTheme="majorEastAsia" w:cstheme="majorBidi"/>
      <w:color w:val="272727" w:themeColor="text1" w:themeTint="D8"/>
    </w:rPr>
  </w:style>
  <w:style w:type="paragraph" w:styleId="Title">
    <w:name w:val="Title"/>
    <w:basedOn w:val="Normal"/>
    <w:next w:val="Normal"/>
    <w:link w:val="TitleChar"/>
    <w:uiPriority w:val="10"/>
    <w:qFormat/>
    <w:rsid w:val="007D68F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68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68F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68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68F7"/>
    <w:pPr>
      <w:spacing w:before="160"/>
      <w:jc w:val="center"/>
    </w:pPr>
    <w:rPr>
      <w:i/>
      <w:iCs/>
      <w:color w:val="404040" w:themeColor="text1" w:themeTint="BF"/>
    </w:rPr>
  </w:style>
  <w:style w:type="character" w:customStyle="1" w:styleId="QuoteChar">
    <w:name w:val="Quote Char"/>
    <w:basedOn w:val="DefaultParagraphFont"/>
    <w:link w:val="Quote"/>
    <w:uiPriority w:val="29"/>
    <w:rsid w:val="007D68F7"/>
    <w:rPr>
      <w:i/>
      <w:iCs/>
      <w:color w:val="404040" w:themeColor="text1" w:themeTint="BF"/>
    </w:rPr>
  </w:style>
  <w:style w:type="paragraph" w:styleId="ListParagraph">
    <w:name w:val="List Paragraph"/>
    <w:basedOn w:val="Normal"/>
    <w:uiPriority w:val="34"/>
    <w:qFormat/>
    <w:rsid w:val="007D68F7"/>
    <w:pPr>
      <w:ind w:left="720"/>
      <w:contextualSpacing/>
    </w:pPr>
  </w:style>
  <w:style w:type="character" w:styleId="IntenseEmphasis">
    <w:name w:val="Intense Emphasis"/>
    <w:basedOn w:val="DefaultParagraphFont"/>
    <w:uiPriority w:val="21"/>
    <w:qFormat/>
    <w:rsid w:val="007D68F7"/>
    <w:rPr>
      <w:i/>
      <w:iCs/>
      <w:color w:val="0F4761" w:themeColor="accent1" w:themeShade="BF"/>
    </w:rPr>
  </w:style>
  <w:style w:type="paragraph" w:styleId="IntenseQuote">
    <w:name w:val="Intense Quote"/>
    <w:basedOn w:val="Normal"/>
    <w:next w:val="Normal"/>
    <w:link w:val="IntenseQuoteChar"/>
    <w:uiPriority w:val="30"/>
    <w:qFormat/>
    <w:rsid w:val="007D68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68F7"/>
    <w:rPr>
      <w:i/>
      <w:iCs/>
      <w:color w:val="0F4761" w:themeColor="accent1" w:themeShade="BF"/>
    </w:rPr>
  </w:style>
  <w:style w:type="character" w:styleId="IntenseReference">
    <w:name w:val="Intense Reference"/>
    <w:basedOn w:val="DefaultParagraphFont"/>
    <w:uiPriority w:val="32"/>
    <w:qFormat/>
    <w:rsid w:val="007D68F7"/>
    <w:rPr>
      <w:b/>
      <w:bCs/>
      <w:smallCaps/>
      <w:color w:val="0F4761" w:themeColor="accent1" w:themeShade="BF"/>
      <w:spacing w:val="5"/>
    </w:rPr>
  </w:style>
  <w:style w:type="character" w:styleId="Hyperlink">
    <w:name w:val="Hyperlink"/>
    <w:basedOn w:val="DefaultParagraphFont"/>
    <w:uiPriority w:val="99"/>
    <w:unhideWhenUsed/>
    <w:rsid w:val="007D68F7"/>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fricascorecard.nepad.org"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1740</Words>
  <Characters>9920</Characters>
  <Application>Microsoft Office Word</Application>
  <DocSecurity>0</DocSecurity>
  <Lines>82</Lines>
  <Paragraphs>23</Paragraphs>
  <ScaleCrop>false</ScaleCrop>
  <Company/>
  <LinksUpToDate>false</LinksUpToDate>
  <CharactersWithSpaces>11637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Matthias Brucker</dc:creator>
  <cp:keywords/>
  <dc:description/>
  <cp:lastModifiedBy>Matthias Brucker</cp:lastModifiedBy>
  <cp:revision>11</cp:revision>
  <dcterms:created xsi:type="dcterms:W3CDTF">2026-05-21T12:41:00Z</dcterms:created>
  <dcterms:modified xsi:type="dcterms:W3CDTF">2026-06-01T12:50:00Z</dcterms:modified>
</cp:coreProperties>
</file>